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0B5FB" w14:textId="77777777" w:rsidR="001C78B9" w:rsidRPr="001C78B9" w:rsidRDefault="001C78B9" w:rsidP="001C78B9">
      <w:pPr>
        <w:spacing w:after="0" w:line="240" w:lineRule="auto"/>
        <w:rPr>
          <w:rFonts w:eastAsia="Times New Roman" w:cs="Times New Roman"/>
          <w:sz w:val="24"/>
          <w:szCs w:val="24"/>
        </w:rPr>
      </w:pPr>
      <w:r w:rsidRPr="001C78B9">
        <w:rPr>
          <w:rFonts w:eastAsia="Times New Roman" w:cs="Times New Roman"/>
          <w:sz w:val="24"/>
          <w:szCs w:val="24"/>
        </w:rPr>
        <w:t xml:space="preserve">James Parker </w:t>
      </w:r>
    </w:p>
    <w:p w14:paraId="4A324057" w14:textId="77777777" w:rsidR="001C78B9" w:rsidRPr="001C78B9" w:rsidRDefault="001C78B9" w:rsidP="001C78B9">
      <w:pPr>
        <w:spacing w:after="0" w:line="240" w:lineRule="auto"/>
        <w:rPr>
          <w:rFonts w:eastAsia="Times New Roman" w:cs="Times New Roman"/>
          <w:sz w:val="24"/>
          <w:szCs w:val="24"/>
        </w:rPr>
      </w:pPr>
      <w:r w:rsidRPr="001C78B9">
        <w:rPr>
          <w:rFonts w:eastAsia="Times New Roman" w:cs="Times New Roman"/>
          <w:sz w:val="24"/>
          <w:szCs w:val="24"/>
        </w:rPr>
        <w:t xml:space="preserve">Clean Energy Alliance </w:t>
      </w:r>
    </w:p>
    <w:p w14:paraId="04DB2180" w14:textId="77777777" w:rsidR="001C78B9" w:rsidRPr="001C78B9" w:rsidRDefault="001C78B9" w:rsidP="001C78B9">
      <w:pPr>
        <w:spacing w:after="0" w:line="240" w:lineRule="auto"/>
        <w:rPr>
          <w:rFonts w:eastAsia="Times New Roman" w:cs="Times New Roman"/>
          <w:sz w:val="24"/>
          <w:szCs w:val="24"/>
        </w:rPr>
      </w:pPr>
      <w:r w:rsidRPr="001C78B9">
        <w:rPr>
          <w:rFonts w:eastAsia="Times New Roman" w:cs="Times New Roman"/>
          <w:sz w:val="24"/>
          <w:szCs w:val="24"/>
        </w:rPr>
        <w:t>1839 Iron Point Road, Suite 120</w:t>
      </w:r>
    </w:p>
    <w:p w14:paraId="23450A67" w14:textId="65A0E172" w:rsidR="006923AD" w:rsidRDefault="001C78B9" w:rsidP="001C78B9">
      <w:pPr>
        <w:spacing w:after="0" w:line="240" w:lineRule="auto"/>
        <w:rPr>
          <w:rFonts w:eastAsia="Times New Roman" w:cs="Times New Roman"/>
          <w:sz w:val="24"/>
          <w:szCs w:val="24"/>
        </w:rPr>
      </w:pPr>
      <w:r w:rsidRPr="001C78B9">
        <w:rPr>
          <w:rFonts w:eastAsia="Times New Roman" w:cs="Times New Roman"/>
          <w:sz w:val="24"/>
          <w:szCs w:val="24"/>
        </w:rPr>
        <w:t>Folsom, CA 95630</w:t>
      </w:r>
    </w:p>
    <w:p w14:paraId="60324DED" w14:textId="77777777" w:rsidR="001C78B9" w:rsidRPr="006923AD" w:rsidRDefault="001C78B9"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DECISIONS (D.) 10-06-036, D.11-06-022, D.14-06-050, D.19-06-026, </w:t>
      </w:r>
    </w:p>
    <w:p w14:paraId="63E5BE94"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D.20-06-031, D.21-06-029 </w:t>
      </w:r>
      <w:r w:rsidRPr="006923AD">
        <w:rPr>
          <w:rFonts w:eastAsia="Times New Roman" w:cs="Times New Roman"/>
          <w:b/>
          <w:sz w:val="24"/>
          <w:szCs w:val="24"/>
        </w:rPr>
        <w:t>D.22-06-050, 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48BB1CA5"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436980" w:rsidRPr="006923AD">
        <w:rPr>
          <w:rFonts w:eastAsia="Times New Roman" w:cs="Times New Roman"/>
          <w:b/>
          <w:sz w:val="24"/>
          <w:szCs w:val="24"/>
        </w:rPr>
        <w:t>01</w:t>
      </w:r>
      <w:r w:rsidR="00436980">
        <w:rPr>
          <w:rFonts w:eastAsia="Times New Roman" w:cs="Times New Roman"/>
          <w:b/>
          <w:sz w:val="24"/>
          <w:szCs w:val="24"/>
        </w:rPr>
        <w:t>87</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November </w:t>
      </w:r>
      <w:r w:rsidR="00306471">
        <w:rPr>
          <w:rFonts w:eastAsia="Calibri" w:cs="Times New Roman"/>
          <w:b/>
          <w:bCs/>
          <w:sz w:val="24"/>
          <w:szCs w:val="24"/>
        </w:rPr>
        <w:t>18</w:t>
      </w:r>
      <w:r w:rsidRPr="006923AD">
        <w:rPr>
          <w:rFonts w:eastAsia="Calibri" w:cs="Times New Roman"/>
          <w:b/>
          <w:bCs/>
          <w:sz w:val="24"/>
          <w:szCs w:val="24"/>
        </w:rPr>
        <w:t xml:space="preserve">, 2024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18C7798D"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982B04">
        <w:rPr>
          <w:b/>
          <w:bCs/>
        </w:rPr>
        <w:t>September</w:t>
      </w:r>
      <w:r w:rsidR="006721D6" w:rsidRPr="00C8467D">
        <w:rPr>
          <w:b/>
          <w:bCs/>
        </w:rPr>
        <w:t xml:space="preserve"> </w:t>
      </w:r>
      <w:r w:rsidRPr="006923AD">
        <w:rPr>
          <w:rFonts w:eastAsia="Calibri" w:cs="Times New Roman"/>
          <w:b/>
          <w:bCs/>
          <w:sz w:val="24"/>
          <w:szCs w:val="24"/>
        </w:rPr>
        <w:t>2024 Month-Ahead System Resource Adequacy Compliance Filing</w:t>
      </w:r>
    </w:p>
    <w:p w14:paraId="77FF6F92" w14:textId="77777777" w:rsidR="003941C1" w:rsidRDefault="003941C1" w:rsidP="003941C1">
      <w:pPr>
        <w:spacing w:after="0" w:line="240" w:lineRule="auto"/>
      </w:pPr>
    </w:p>
    <w:p w14:paraId="1E7676E0" w14:textId="5DC39A7F" w:rsidR="0026038E" w:rsidRPr="0072659E" w:rsidRDefault="0002491B" w:rsidP="004D3124">
      <w:r w:rsidRPr="00C8467D">
        <w:rPr>
          <w:rFonts w:eastAsia="Times New Roman"/>
        </w:rPr>
        <w:t>Dear Mr. James Parker</w:t>
      </w:r>
      <w:r w:rsidR="0072659E" w:rsidRPr="0072659E">
        <w:t>:</w:t>
      </w:r>
    </w:p>
    <w:p w14:paraId="41BB3476" w14:textId="04FA3DCA" w:rsidR="0072659E" w:rsidRPr="0072659E" w:rsidRDefault="006C5AF4" w:rsidP="00310332">
      <w:pPr>
        <w:spacing w:after="0" w:line="360" w:lineRule="auto"/>
        <w:ind w:firstLine="720"/>
        <w:rPr>
          <w:rFonts w:eastAsia="Times New Roman" w:cs="Times New Roman"/>
        </w:rPr>
      </w:pPr>
      <w:r w:rsidRPr="00C8467D">
        <w:rPr>
          <w:rFonts w:eastAsia="Times New Roman"/>
        </w:rPr>
        <w:t>Pursuant to Resolution E-4195, subsequently modified by Decisions (D.) 10-06-036, D.11-06-022, D.14-06-050, D.19-06-026, D.20-06-031, D.21-06-029, D.22-06-050, D.23-06-029, and D.24-06-004, Clean Energy Alliance is hereby cited for the following specified violations</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B57F56">
        <w:trPr>
          <w:trHeight w:val="692"/>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Month-Ahead System Resource Adequacy Compliance Filing at the time and manner required.</w:t>
            </w:r>
            <w:r w:rsidRPr="0072659E">
              <w:rPr>
                <w:rFonts w:eastAsia="Times New Roman" w:cs="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B57F56">
        <w:trPr>
          <w:trHeight w:val="1151"/>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72659E" w:rsidRDefault="0072659E" w:rsidP="0072659E">
            <w:pPr>
              <w:numPr>
                <w:ilvl w:val="0"/>
                <w:numId w:val="2"/>
              </w:numPr>
              <w:spacing w:after="0" w:line="240" w:lineRule="auto"/>
              <w:rPr>
                <w:rFonts w:eastAsia="Times New Roman" w:cs="Times New Roman"/>
                <w:sz w:val="24"/>
                <w:szCs w:val="24"/>
              </w:rPr>
            </w:pPr>
            <w:r w:rsidRPr="0072659E">
              <w:rPr>
                <w:rFonts w:eastAsia="Times New Roman" w:cs="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5579E438" w:rsidR="0072659E" w:rsidRPr="0072659E" w:rsidRDefault="00982B04"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1"/>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7777777"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51BEC493" w14:textId="77777777" w:rsidR="0026038E" w:rsidRPr="004D2D2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 xml:space="preserve">Summary </w:t>
      </w:r>
    </w:p>
    <w:p w14:paraId="07974326" w14:textId="63D4F04A" w:rsidR="002F5739" w:rsidRDefault="002F5739" w:rsidP="002F5739">
      <w:pPr>
        <w:spacing w:after="0" w:line="360" w:lineRule="auto"/>
        <w:ind w:firstLine="720"/>
      </w:pPr>
      <w:r>
        <w:t xml:space="preserve">Clean Energy Alliance (CEA) failed to meet its </w:t>
      </w:r>
      <w:r w:rsidR="00A54930">
        <w:t>September</w:t>
      </w:r>
      <w:r>
        <w:t xml:space="preserve"> 2024 Month-Ahead (MA) System Resource Adequacy (RA) obligations.  On March 15, 2024, the California Public Utilities Commission’s (CPUC or Commission) Energy Division (ED) staff provided CEA with its updated </w:t>
      </w:r>
      <w:r w:rsidR="00A54930">
        <w:t>September</w:t>
      </w:r>
      <w:r>
        <w:t xml:space="preserve"> 2024 Cost Allocation Method-Reliability Must Run (CAM-RMR) allocations.  On </w:t>
      </w:r>
      <w:r w:rsidR="00A54930">
        <w:t>July</w:t>
      </w:r>
      <w:r>
        <w:t xml:space="preserve"> 1</w:t>
      </w:r>
      <w:r w:rsidR="00A54930">
        <w:t>6</w:t>
      </w:r>
      <w:r>
        <w:t xml:space="preserve">, 2024, CEA </w:t>
      </w:r>
      <w:r w:rsidRPr="00A27D2F">
        <w:t xml:space="preserve">filed its </w:t>
      </w:r>
      <w:r w:rsidR="00A54930" w:rsidRPr="00A27D2F">
        <w:t>September</w:t>
      </w:r>
      <w:r w:rsidRPr="00A27D2F">
        <w:t xml:space="preserve"> 2024 RA showing.  On Ju</w:t>
      </w:r>
      <w:r w:rsidR="00A54930" w:rsidRPr="00A27D2F">
        <w:t>ly</w:t>
      </w:r>
      <w:r w:rsidRPr="00A27D2F">
        <w:t xml:space="preserve"> 2</w:t>
      </w:r>
      <w:r w:rsidR="00A54930" w:rsidRPr="00A27D2F">
        <w:t>4</w:t>
      </w:r>
      <w:r w:rsidRPr="00A27D2F">
        <w:t>, 2024, ED staff downloaded and reviewed the California Independent System Operator (CAISO) supply plan validation.  On Ju</w:t>
      </w:r>
      <w:r w:rsidR="00A54930" w:rsidRPr="00A27D2F">
        <w:t>ly</w:t>
      </w:r>
      <w:r w:rsidRPr="00A27D2F">
        <w:t xml:space="preserve"> 2</w:t>
      </w:r>
      <w:r w:rsidR="00A54930" w:rsidRPr="00A27D2F">
        <w:t>6</w:t>
      </w:r>
      <w:r w:rsidRPr="00A27D2F">
        <w:t xml:space="preserve">, 2024, ED staff </w:t>
      </w:r>
      <w:r w:rsidR="007E2C99" w:rsidRPr="00A27D2F">
        <w:t>sent</w:t>
      </w:r>
      <w:r w:rsidRPr="00A27D2F">
        <w:t xml:space="preserve"> CEA a deficiency </w:t>
      </w:r>
      <w:r w:rsidR="007E2C99" w:rsidRPr="00A27D2F">
        <w:t>notice</w:t>
      </w:r>
      <w:r w:rsidRPr="00A27D2F">
        <w:t xml:space="preserve"> indicating the need to procure </w:t>
      </w:r>
      <w:r w:rsidR="008B1451" w:rsidRPr="00A27D2F">
        <w:t>153.24</w:t>
      </w:r>
      <w:r w:rsidRPr="00A27D2F">
        <w:t xml:space="preserve"> megawatts (MW) of System </w:t>
      </w:r>
      <w:r w:rsidR="007E2C99" w:rsidRPr="00A27D2F">
        <w:t xml:space="preserve">RA </w:t>
      </w:r>
      <w:r w:rsidRPr="00A27D2F">
        <w:t xml:space="preserve">for </w:t>
      </w:r>
      <w:r w:rsidR="009B2F46" w:rsidRPr="00A27D2F">
        <w:t>September</w:t>
      </w:r>
      <w:r w:rsidRPr="00A27D2F">
        <w:t xml:space="preserve"> 2024, and provided a deadline of </w:t>
      </w:r>
      <w:r w:rsidR="008B1451" w:rsidRPr="00A27D2F">
        <w:t>August</w:t>
      </w:r>
      <w:r w:rsidRPr="00A27D2F">
        <w:t xml:space="preserve"> 2, 2024 for CEA to come into compliance.  The deficiency notice also noted</w:t>
      </w:r>
      <w:r>
        <w:t xml:space="preserve"> that </w:t>
      </w:r>
      <w:r w:rsidR="0046778F">
        <w:t xml:space="preserve">three </w:t>
      </w:r>
      <w:r>
        <w:t xml:space="preserve">resources </w:t>
      </w:r>
      <w:r w:rsidR="007E2C99">
        <w:t xml:space="preserve">in CEA’s </w:t>
      </w:r>
      <w:r w:rsidR="00652417">
        <w:t>September</w:t>
      </w:r>
      <w:r w:rsidR="007E2C99">
        <w:t xml:space="preserve"> 2024 RA compliance filing </w:t>
      </w:r>
      <w:r>
        <w:t>had supply plan</w:t>
      </w:r>
      <w:r w:rsidR="00C81DB5">
        <w:t xml:space="preserve"> mismatches</w:t>
      </w:r>
      <w:r>
        <w:t>.</w:t>
      </w:r>
      <w:r w:rsidR="006A25C8">
        <w:rPr>
          <w:rStyle w:val="FootnoteReference"/>
        </w:rPr>
        <w:footnoteReference w:id="1"/>
      </w:r>
      <w:r>
        <w:t xml:space="preserve">  </w:t>
      </w:r>
      <w:r w:rsidR="00273A8F">
        <w:t xml:space="preserve">Specifically, </w:t>
      </w:r>
      <w:r w:rsidR="0046778F">
        <w:t xml:space="preserve">three </w:t>
      </w:r>
      <w:r w:rsidR="00273A8F">
        <w:t xml:space="preserve">resources were confirmed for a different </w:t>
      </w:r>
      <w:r w:rsidR="007E2C99">
        <w:t>RA amount</w:t>
      </w:r>
      <w:r w:rsidR="00273A8F">
        <w:t xml:space="preserve">.  </w:t>
      </w:r>
      <w:r w:rsidR="0046778F">
        <w:t xml:space="preserve">On the same day, ED staff </w:t>
      </w:r>
      <w:r w:rsidR="0046778F" w:rsidRPr="00A27D2F">
        <w:t xml:space="preserve">sent CEA a revised deficiency notice, </w:t>
      </w:r>
      <w:r w:rsidR="0080076F" w:rsidRPr="00A27D2F">
        <w:t>notin</w:t>
      </w:r>
      <w:r w:rsidR="0046778F" w:rsidRPr="00A27D2F">
        <w:t>g an additional resource with a supply plan mismatch.</w:t>
      </w:r>
      <w:r w:rsidR="0046778F" w:rsidRPr="00A27D2F">
        <w:rPr>
          <w:rStyle w:val="FootnoteReference"/>
        </w:rPr>
        <w:footnoteReference w:id="2"/>
      </w:r>
      <w:r w:rsidR="0046778F" w:rsidRPr="00A27D2F">
        <w:t xml:space="preserve">  </w:t>
      </w:r>
      <w:r w:rsidRPr="00A27D2F">
        <w:t xml:space="preserve">On </w:t>
      </w:r>
      <w:r w:rsidR="00652417" w:rsidRPr="00A27D2F">
        <w:t>August</w:t>
      </w:r>
      <w:r w:rsidRPr="00A27D2F">
        <w:t xml:space="preserve"> </w:t>
      </w:r>
      <w:r w:rsidR="00652417" w:rsidRPr="00A27D2F">
        <w:t>2</w:t>
      </w:r>
      <w:r w:rsidRPr="00A27D2F">
        <w:t>, 2024, CEA submitted a revised filing</w:t>
      </w:r>
      <w:r w:rsidR="00697205" w:rsidRPr="00A27D2F">
        <w:t xml:space="preserve"> to correct the </w:t>
      </w:r>
      <w:r w:rsidR="007E2C99" w:rsidRPr="00A27D2F">
        <w:t xml:space="preserve">RA </w:t>
      </w:r>
      <w:r w:rsidR="00273A8F" w:rsidRPr="00A27D2F">
        <w:t xml:space="preserve">amounts for </w:t>
      </w:r>
      <w:r w:rsidR="00D10D11" w:rsidRPr="00A27D2F">
        <w:t>the four</w:t>
      </w:r>
      <w:r w:rsidR="00273A8F" w:rsidRPr="00A27D2F">
        <w:t xml:space="preserve"> resources</w:t>
      </w:r>
      <w:r w:rsidR="00A74EF9" w:rsidRPr="00A27D2F">
        <w:t xml:space="preserve"> </w:t>
      </w:r>
      <w:r w:rsidR="00E14382" w:rsidRPr="00A27D2F">
        <w:t xml:space="preserve">and showing </w:t>
      </w:r>
      <w:r w:rsidR="00A27D2F" w:rsidRPr="00A27D2F">
        <w:rPr>
          <w:highlight w:val="black"/>
        </w:rPr>
        <w:t>X</w:t>
      </w:r>
      <w:r w:rsidR="0080076F" w:rsidRPr="00A27D2F">
        <w:rPr>
          <w:rStyle w:val="FootnoteReference"/>
        </w:rPr>
        <w:footnoteReference w:id="3"/>
      </w:r>
      <w:r w:rsidR="00E14382" w:rsidRPr="00A27D2F">
        <w:t xml:space="preserve"> in total System RA procured</w:t>
      </w:r>
      <w:r w:rsidR="00E063DE" w:rsidRPr="00A27D2F">
        <w:t>.</w:t>
      </w:r>
      <w:r w:rsidR="00F71FD6" w:rsidRPr="00A27D2F">
        <w:rPr>
          <w:rStyle w:val="FootnoteReference"/>
        </w:rPr>
        <w:footnoteReference w:id="4"/>
      </w:r>
      <w:r w:rsidRPr="00A27D2F">
        <w:t xml:space="preserve">  On </w:t>
      </w:r>
      <w:r w:rsidR="00652417" w:rsidRPr="00A27D2F">
        <w:t>August</w:t>
      </w:r>
      <w:r w:rsidRPr="00A27D2F">
        <w:t xml:space="preserve"> 3, 2024, ED staff downloaded the CAISO supply plan </w:t>
      </w:r>
      <w:r w:rsidR="002D5706" w:rsidRPr="00A27D2F">
        <w:t xml:space="preserve">which showed </w:t>
      </w:r>
      <w:r w:rsidR="00A27D2F" w:rsidRPr="00A27D2F">
        <w:rPr>
          <w:highlight w:val="black"/>
        </w:rPr>
        <w:t>X</w:t>
      </w:r>
      <w:r w:rsidR="002D5706" w:rsidRPr="00A27D2F">
        <w:t xml:space="preserve"> in total System RA procured.</w:t>
      </w:r>
      <w:r w:rsidR="00691F50" w:rsidRPr="00A27D2F">
        <w:t xml:space="preserve">  Therefore, CEA’s revised September </w:t>
      </w:r>
      <w:r w:rsidR="001C0C51" w:rsidRPr="00A27D2F">
        <w:t xml:space="preserve">2024 </w:t>
      </w:r>
      <w:r w:rsidR="00A26C4B" w:rsidRPr="00A27D2F">
        <w:t xml:space="preserve">MA System RA deficiency </w:t>
      </w:r>
      <w:r w:rsidR="00691F50" w:rsidRPr="00A27D2F">
        <w:t xml:space="preserve">is </w:t>
      </w:r>
      <w:r w:rsidR="00942510" w:rsidRPr="00A27D2F">
        <w:t>136.24</w:t>
      </w:r>
      <w:r w:rsidR="009318DB" w:rsidRPr="00A27D2F">
        <w:t xml:space="preserve"> MW (</w:t>
      </w:r>
      <w:r w:rsidR="00A27D2F" w:rsidRPr="00A27D2F">
        <w:rPr>
          <w:highlight w:val="black"/>
        </w:rPr>
        <w:t>X</w:t>
      </w:r>
      <w:r w:rsidR="00C46E54" w:rsidRPr="00A27D2F">
        <w:t>)</w:t>
      </w:r>
      <w:r w:rsidR="001C0C51" w:rsidRPr="00A27D2F">
        <w:t>.</w:t>
      </w:r>
    </w:p>
    <w:p w14:paraId="321A9F10" w14:textId="175585EC" w:rsidR="00310332" w:rsidRPr="004D2D25" w:rsidRDefault="002F5739" w:rsidP="002F5739">
      <w:pPr>
        <w:spacing w:after="0" w:line="360" w:lineRule="auto"/>
        <w:ind w:firstLine="720"/>
      </w:pPr>
      <w:r>
        <w:t xml:space="preserve">On October 28, 2024, Utilities Enforcement Branch (UEB) staff requested an update from CEA regarding its outstanding </w:t>
      </w:r>
      <w:r w:rsidR="009F3F17">
        <w:t>September</w:t>
      </w:r>
      <w:r>
        <w:t xml:space="preserve"> 2024 MA System RA deficiency and provided CEA a deadline of November 4, 2024 to provide documents demonstrating it cured its deficiency by the </w:t>
      </w:r>
      <w:r w:rsidR="009F3F17">
        <w:t>August</w:t>
      </w:r>
      <w:r>
        <w:t xml:space="preserve"> 2, 2024 deadline provided by ED.  </w:t>
      </w:r>
      <w:r w:rsidR="00932A0A">
        <w:t xml:space="preserve">On November 8, 2024, </w:t>
      </w:r>
      <w:r>
        <w:t xml:space="preserve">CEA </w:t>
      </w:r>
      <w:r w:rsidR="00932A0A">
        <w:t xml:space="preserve">confirmed it was unable to cure </w:t>
      </w:r>
      <w:r w:rsidR="0046778F">
        <w:t xml:space="preserve">the remainder of </w:t>
      </w:r>
      <w:r w:rsidR="00932A0A">
        <w:t xml:space="preserve">its </w:t>
      </w:r>
      <w:r w:rsidR="009F3F17">
        <w:t>September</w:t>
      </w:r>
      <w:r w:rsidR="00932A0A">
        <w:t xml:space="preserve"> 2024 MA RA deficiency.</w:t>
      </w:r>
    </w:p>
    <w:p w14:paraId="07D27747" w14:textId="77777777" w:rsidR="001901F6" w:rsidRDefault="001901F6" w:rsidP="00310332">
      <w:pPr>
        <w:spacing w:after="0" w:line="360" w:lineRule="auto"/>
        <w:ind w:firstLine="720"/>
      </w:pPr>
    </w:p>
    <w:p w14:paraId="36F8455D" w14:textId="77777777" w:rsidR="001901F6" w:rsidRDefault="001901F6" w:rsidP="00310332">
      <w:pPr>
        <w:spacing w:after="0" w:line="360" w:lineRule="auto"/>
        <w:ind w:firstLine="720"/>
      </w:pPr>
    </w:p>
    <w:p w14:paraId="5975E1C0" w14:textId="77777777" w:rsidR="001901F6" w:rsidRDefault="001901F6" w:rsidP="00310332">
      <w:pPr>
        <w:spacing w:after="0" w:line="360" w:lineRule="auto"/>
        <w:ind w:firstLine="720"/>
      </w:pPr>
    </w:p>
    <w:p w14:paraId="49AC685B" w14:textId="77777777" w:rsidR="001901F6" w:rsidRDefault="001901F6" w:rsidP="00310332">
      <w:pPr>
        <w:spacing w:after="0" w:line="360" w:lineRule="auto"/>
        <w:ind w:firstLine="720"/>
      </w:pPr>
    </w:p>
    <w:p w14:paraId="1C3C3324" w14:textId="77777777" w:rsidR="001901F6" w:rsidRDefault="001901F6" w:rsidP="00310332">
      <w:pPr>
        <w:spacing w:after="0" w:line="360" w:lineRule="auto"/>
        <w:ind w:firstLine="720"/>
      </w:pPr>
    </w:p>
    <w:p w14:paraId="16B08FB2" w14:textId="0179ED2A" w:rsidR="0026038E" w:rsidRDefault="006A25C8" w:rsidP="00310332">
      <w:pPr>
        <w:spacing w:after="0" w:line="360" w:lineRule="auto"/>
        <w:ind w:firstLine="720"/>
      </w:pPr>
      <w:r w:rsidRPr="006A25C8">
        <w:t xml:space="preserve">Table 1 provides a detailed summary of CEA’s </w:t>
      </w:r>
      <w:r w:rsidR="00C501FD">
        <w:t>September</w:t>
      </w:r>
      <w:r w:rsidRPr="006A25C8">
        <w:t xml:space="preserve"> 2024 MA System RA obligations.</w:t>
      </w:r>
      <w:r w:rsidR="0072659E" w:rsidRPr="004D2D25">
        <w:t xml:space="preserve">  </w:t>
      </w:r>
    </w:p>
    <w:p w14:paraId="0B0E0B81" w14:textId="77777777" w:rsidR="005A0437" w:rsidRDefault="005A0437" w:rsidP="00310332">
      <w:pPr>
        <w:spacing w:after="0" w:line="360" w:lineRule="auto"/>
        <w:ind w:firstLine="72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0"/>
        <w:gridCol w:w="1710"/>
        <w:gridCol w:w="1800"/>
        <w:gridCol w:w="1620"/>
        <w:gridCol w:w="1620"/>
        <w:gridCol w:w="1620"/>
      </w:tblGrid>
      <w:tr w:rsidR="005A0437" w:rsidRPr="004D2D25" w14:paraId="2D3A8774" w14:textId="77777777" w:rsidTr="000E458A">
        <w:trPr>
          <w:trHeight w:val="396"/>
          <w:jc w:val="center"/>
        </w:trPr>
        <w:tc>
          <w:tcPr>
            <w:tcW w:w="9900" w:type="dxa"/>
            <w:gridSpan w:val="6"/>
            <w:vAlign w:val="center"/>
          </w:tcPr>
          <w:p w14:paraId="1D28470D" w14:textId="7EBC7955" w:rsidR="005A0437" w:rsidRPr="004D2D25" w:rsidRDefault="005A0437" w:rsidP="000E458A">
            <w:pPr>
              <w:pStyle w:val="TableParagraph"/>
              <w:keepNext/>
              <w:keepLines/>
              <w:widowControl/>
              <w:jc w:val="center"/>
              <w:rPr>
                <w:rFonts w:ascii="Garamond" w:hAnsi="Garamond"/>
                <w:b/>
              </w:rPr>
            </w:pPr>
            <w:r w:rsidRPr="004D2D25">
              <w:rPr>
                <w:rFonts w:ascii="Garamond" w:hAnsi="Garamond"/>
                <w:b/>
              </w:rPr>
              <w:t>Table</w:t>
            </w:r>
            <w:r w:rsidRPr="004D2D25">
              <w:rPr>
                <w:rFonts w:ascii="Garamond" w:hAnsi="Garamond"/>
                <w:b/>
                <w:spacing w:val="-2"/>
              </w:rPr>
              <w:t xml:space="preserve"> </w:t>
            </w:r>
            <w:r w:rsidRPr="004D2D25">
              <w:rPr>
                <w:rFonts w:ascii="Garamond" w:hAnsi="Garamond"/>
                <w:b/>
              </w:rPr>
              <w:t>1:</w:t>
            </w:r>
            <w:r w:rsidRPr="004D2D25">
              <w:rPr>
                <w:rFonts w:ascii="Garamond" w:hAnsi="Garamond"/>
                <w:b/>
                <w:spacing w:val="-1"/>
              </w:rPr>
              <w:t xml:space="preserve"> </w:t>
            </w:r>
            <w:r w:rsidRPr="004D2D25">
              <w:rPr>
                <w:rFonts w:ascii="Garamond" w:hAnsi="Garamond"/>
                <w:b/>
              </w:rPr>
              <w:t>Summary</w:t>
            </w:r>
            <w:r w:rsidRPr="004D2D25">
              <w:rPr>
                <w:rFonts w:ascii="Garamond" w:hAnsi="Garamond"/>
                <w:b/>
                <w:spacing w:val="-1"/>
              </w:rPr>
              <w:t xml:space="preserve"> </w:t>
            </w:r>
            <w:r w:rsidRPr="004D2D25">
              <w:rPr>
                <w:rFonts w:ascii="Garamond" w:hAnsi="Garamond"/>
                <w:b/>
              </w:rPr>
              <w:t>of</w:t>
            </w:r>
            <w:r w:rsidRPr="004D2D25">
              <w:rPr>
                <w:rFonts w:ascii="Garamond" w:hAnsi="Garamond"/>
                <w:b/>
                <w:spacing w:val="-3"/>
              </w:rPr>
              <w:t xml:space="preserve"> </w:t>
            </w:r>
            <w:r>
              <w:rPr>
                <w:rFonts w:ascii="Garamond" w:hAnsi="Garamond"/>
                <w:b/>
              </w:rPr>
              <w:t>CEA</w:t>
            </w:r>
            <w:r w:rsidRPr="004D2D25">
              <w:rPr>
                <w:rFonts w:ascii="Garamond" w:hAnsi="Garamond"/>
                <w:b/>
              </w:rPr>
              <w:t>’s</w:t>
            </w:r>
            <w:r w:rsidRPr="004D2D25">
              <w:rPr>
                <w:rFonts w:ascii="Garamond" w:hAnsi="Garamond"/>
                <w:b/>
                <w:spacing w:val="-2"/>
              </w:rPr>
              <w:t xml:space="preserve"> </w:t>
            </w:r>
            <w:r w:rsidRPr="004D2D25">
              <w:rPr>
                <w:rFonts w:ascii="Garamond" w:hAnsi="Garamond"/>
                <w:b/>
              </w:rPr>
              <w:t>System</w:t>
            </w:r>
            <w:r w:rsidRPr="004D2D25">
              <w:rPr>
                <w:rFonts w:ascii="Garamond" w:hAnsi="Garamond"/>
                <w:b/>
                <w:spacing w:val="-1"/>
              </w:rPr>
              <w:t xml:space="preserve"> </w:t>
            </w:r>
            <w:r w:rsidRPr="004D2D25">
              <w:rPr>
                <w:rFonts w:ascii="Garamond" w:hAnsi="Garamond"/>
                <w:b/>
              </w:rPr>
              <w:t>RA</w:t>
            </w:r>
            <w:r w:rsidRPr="004D2D25">
              <w:rPr>
                <w:rFonts w:ascii="Garamond" w:hAnsi="Garamond"/>
                <w:b/>
                <w:spacing w:val="-3"/>
              </w:rPr>
              <w:t xml:space="preserve"> </w:t>
            </w:r>
            <w:r w:rsidRPr="004D2D25">
              <w:rPr>
                <w:rFonts w:ascii="Garamond" w:hAnsi="Garamond"/>
                <w:b/>
              </w:rPr>
              <w:t>Obligations</w:t>
            </w:r>
            <w:r w:rsidRPr="004D2D25">
              <w:rPr>
                <w:rFonts w:ascii="Garamond" w:hAnsi="Garamond"/>
                <w:b/>
                <w:spacing w:val="-1"/>
              </w:rPr>
              <w:t xml:space="preserve"> </w:t>
            </w:r>
            <w:r w:rsidRPr="004D2D25">
              <w:rPr>
                <w:rFonts w:ascii="Garamond" w:hAnsi="Garamond"/>
                <w:b/>
              </w:rPr>
              <w:t>and</w:t>
            </w:r>
            <w:r w:rsidRPr="004D2D25">
              <w:rPr>
                <w:rFonts w:ascii="Garamond" w:hAnsi="Garamond"/>
                <w:b/>
                <w:spacing w:val="-2"/>
              </w:rPr>
              <w:t xml:space="preserve"> </w:t>
            </w:r>
            <w:r w:rsidRPr="004D2D25">
              <w:rPr>
                <w:rFonts w:ascii="Garamond" w:hAnsi="Garamond"/>
                <w:b/>
              </w:rPr>
              <w:t>Compliance</w:t>
            </w:r>
            <w:r w:rsidRPr="004D2D25">
              <w:rPr>
                <w:rFonts w:ascii="Garamond" w:hAnsi="Garamond"/>
                <w:b/>
                <w:spacing w:val="-2"/>
              </w:rPr>
              <w:t xml:space="preserve"> </w:t>
            </w:r>
            <w:r w:rsidRPr="004D2D25">
              <w:rPr>
                <w:rFonts w:ascii="Garamond" w:hAnsi="Garamond"/>
                <w:b/>
              </w:rPr>
              <w:t>(MW)</w:t>
            </w:r>
          </w:p>
        </w:tc>
      </w:tr>
      <w:tr w:rsidR="005A0437" w:rsidRPr="004D2D25" w14:paraId="19C348BB" w14:textId="77777777" w:rsidTr="000E458A">
        <w:trPr>
          <w:trHeight w:val="1142"/>
          <w:jc w:val="center"/>
        </w:trPr>
        <w:tc>
          <w:tcPr>
            <w:tcW w:w="1530" w:type="dxa"/>
            <w:vAlign w:val="center"/>
          </w:tcPr>
          <w:p w14:paraId="396B3CCA" w14:textId="77777777" w:rsidR="005A0437" w:rsidRPr="004D2D25" w:rsidRDefault="005A0437" w:rsidP="000E458A">
            <w:pPr>
              <w:pStyle w:val="TableParagraph"/>
              <w:keepNext/>
              <w:keepLines/>
              <w:widowControl/>
              <w:jc w:val="center"/>
              <w:rPr>
                <w:rFonts w:ascii="Garamond" w:hAnsi="Garamond"/>
              </w:rPr>
            </w:pPr>
            <w:r w:rsidRPr="004D2D25">
              <w:rPr>
                <w:rFonts w:ascii="Garamond" w:hAnsi="Garamond"/>
              </w:rPr>
              <w:t>Month</w:t>
            </w:r>
          </w:p>
        </w:tc>
        <w:tc>
          <w:tcPr>
            <w:tcW w:w="1710" w:type="dxa"/>
            <w:vAlign w:val="center"/>
          </w:tcPr>
          <w:p w14:paraId="6207EE71" w14:textId="77777777" w:rsidR="005A0437" w:rsidRPr="004D2D25" w:rsidRDefault="005A0437" w:rsidP="000E458A">
            <w:pPr>
              <w:pStyle w:val="TableParagraph"/>
              <w:keepNext/>
              <w:keepLines/>
              <w:widowControl/>
              <w:ind w:left="163" w:right="151"/>
              <w:jc w:val="center"/>
              <w:rPr>
                <w:rFonts w:ascii="Garamond" w:hAnsi="Garamond"/>
                <w:spacing w:val="-57"/>
              </w:rPr>
            </w:pPr>
            <w:r w:rsidRPr="004D2D25">
              <w:rPr>
                <w:rFonts w:ascii="Garamond" w:hAnsi="Garamond"/>
              </w:rPr>
              <w:t xml:space="preserve">Allocation </w:t>
            </w:r>
            <w:r w:rsidRPr="004D2D25">
              <w:rPr>
                <w:rFonts w:ascii="Garamond" w:hAnsi="Garamond"/>
                <w:spacing w:val="-57"/>
              </w:rPr>
              <w:t xml:space="preserve">  </w:t>
            </w:r>
            <w:r w:rsidRPr="004D2D25">
              <w:rPr>
                <w:rFonts w:ascii="Garamond" w:hAnsi="Garamond"/>
              </w:rPr>
              <w:t>for System RA</w:t>
            </w:r>
          </w:p>
          <w:p w14:paraId="655355D1" w14:textId="77777777" w:rsidR="005A0437" w:rsidRPr="004D2D25" w:rsidRDefault="005A0437" w:rsidP="000E458A">
            <w:pPr>
              <w:pStyle w:val="TableParagraph"/>
              <w:keepNext/>
              <w:keepLines/>
              <w:widowControl/>
              <w:ind w:left="87" w:right="77"/>
              <w:jc w:val="center"/>
              <w:rPr>
                <w:rFonts w:ascii="Garamond" w:hAnsi="Garamond"/>
              </w:rPr>
            </w:pPr>
            <w:r w:rsidRPr="004D2D25">
              <w:rPr>
                <w:rFonts w:ascii="Garamond" w:hAnsi="Garamond"/>
              </w:rPr>
              <w:t>Requirement</w:t>
            </w:r>
          </w:p>
        </w:tc>
        <w:tc>
          <w:tcPr>
            <w:tcW w:w="1800" w:type="dxa"/>
            <w:vAlign w:val="center"/>
          </w:tcPr>
          <w:p w14:paraId="49101AED" w14:textId="77777777" w:rsidR="005A0437" w:rsidRPr="004D2D25" w:rsidRDefault="005A0437" w:rsidP="000E458A">
            <w:pPr>
              <w:pStyle w:val="TableParagraph"/>
              <w:keepNext/>
              <w:keepLines/>
              <w:widowControl/>
              <w:ind w:left="115" w:right="105"/>
              <w:jc w:val="center"/>
              <w:rPr>
                <w:rFonts w:ascii="Garamond" w:hAnsi="Garamond"/>
              </w:rPr>
            </w:pPr>
            <w:r w:rsidRPr="004D2D25">
              <w:rPr>
                <w:rFonts w:ascii="Garamond" w:hAnsi="Garamond"/>
              </w:rPr>
              <w:t>Total</w:t>
            </w:r>
            <w:r w:rsidRPr="004D2D25">
              <w:rPr>
                <w:rFonts w:ascii="Garamond" w:hAnsi="Garamond"/>
                <w:spacing w:val="-14"/>
              </w:rPr>
              <w:t xml:space="preserve"> </w:t>
            </w:r>
            <w:r w:rsidRPr="004D2D25">
              <w:rPr>
                <w:rFonts w:ascii="Garamond" w:hAnsi="Garamond"/>
              </w:rPr>
              <w:t xml:space="preserve">System </w:t>
            </w:r>
            <w:r w:rsidRPr="004D2D25">
              <w:rPr>
                <w:rFonts w:ascii="Garamond" w:hAnsi="Garamond"/>
                <w:spacing w:val="-57"/>
              </w:rPr>
              <w:t>RA</w:t>
            </w:r>
          </w:p>
          <w:p w14:paraId="09E5D470" w14:textId="77777777" w:rsidR="005A0437" w:rsidRPr="004D2D25" w:rsidRDefault="005A0437" w:rsidP="000E458A">
            <w:pPr>
              <w:pStyle w:val="TableParagraph"/>
              <w:keepNext/>
              <w:keepLines/>
              <w:widowControl/>
              <w:ind w:left="115" w:right="103"/>
              <w:jc w:val="center"/>
              <w:rPr>
                <w:rFonts w:ascii="Garamond" w:hAnsi="Garamond"/>
              </w:rPr>
            </w:pPr>
            <w:r w:rsidRPr="004D2D25">
              <w:rPr>
                <w:rFonts w:ascii="Garamond" w:hAnsi="Garamond"/>
              </w:rPr>
              <w:t>Resources Procured</w:t>
            </w:r>
          </w:p>
        </w:tc>
        <w:tc>
          <w:tcPr>
            <w:tcW w:w="1620" w:type="dxa"/>
            <w:vAlign w:val="center"/>
          </w:tcPr>
          <w:p w14:paraId="51137419" w14:textId="77777777" w:rsidR="005A0437" w:rsidRPr="004D2D25" w:rsidRDefault="005A0437" w:rsidP="000E458A">
            <w:pPr>
              <w:pStyle w:val="TableParagraph"/>
              <w:keepNext/>
              <w:keepLines/>
              <w:widowControl/>
              <w:ind w:left="163" w:right="151"/>
              <w:jc w:val="center"/>
              <w:rPr>
                <w:rFonts w:ascii="Garamond" w:hAnsi="Garamond"/>
              </w:rPr>
            </w:pPr>
            <w:r w:rsidRPr="004D2D25">
              <w:rPr>
                <w:rFonts w:ascii="Garamond" w:hAnsi="Garamond"/>
              </w:rPr>
              <w:t xml:space="preserve">Deficiency </w:t>
            </w:r>
            <w:r w:rsidRPr="004D2D25">
              <w:rPr>
                <w:rFonts w:ascii="Garamond" w:hAnsi="Garamond"/>
                <w:spacing w:val="-57"/>
              </w:rPr>
              <w:t xml:space="preserve">  </w:t>
            </w:r>
            <w:r w:rsidRPr="004D2D25">
              <w:rPr>
                <w:rFonts w:ascii="Garamond" w:hAnsi="Garamond"/>
              </w:rPr>
              <w:t>in</w:t>
            </w:r>
          </w:p>
          <w:p w14:paraId="7259D1C0" w14:textId="77777777" w:rsidR="005A0437" w:rsidRPr="004D2D25" w:rsidRDefault="005A0437" w:rsidP="000E458A">
            <w:pPr>
              <w:pStyle w:val="TableParagraph"/>
              <w:keepNext/>
              <w:keepLines/>
              <w:widowControl/>
              <w:ind w:left="163" w:right="151"/>
              <w:jc w:val="center"/>
              <w:rPr>
                <w:rFonts w:ascii="Garamond" w:hAnsi="Garamond"/>
              </w:rPr>
            </w:pPr>
            <w:r w:rsidRPr="004D2D25">
              <w:rPr>
                <w:rFonts w:ascii="Garamond" w:hAnsi="Garamond"/>
              </w:rPr>
              <w:t>System RA</w:t>
            </w:r>
          </w:p>
          <w:p w14:paraId="7AD09773" w14:textId="77777777" w:rsidR="005A0437" w:rsidRPr="004D2D25" w:rsidRDefault="005A0437" w:rsidP="000E458A">
            <w:pPr>
              <w:pStyle w:val="TableParagraph"/>
              <w:keepNext/>
              <w:keepLines/>
              <w:widowControl/>
              <w:ind w:left="87" w:right="77"/>
              <w:jc w:val="center"/>
              <w:rPr>
                <w:rFonts w:ascii="Garamond" w:hAnsi="Garamond"/>
              </w:rPr>
            </w:pPr>
            <w:r w:rsidRPr="004D2D25">
              <w:rPr>
                <w:rFonts w:ascii="Garamond" w:hAnsi="Garamond"/>
              </w:rPr>
              <w:t>Requirement</w:t>
            </w:r>
          </w:p>
        </w:tc>
        <w:tc>
          <w:tcPr>
            <w:tcW w:w="1620" w:type="dxa"/>
          </w:tcPr>
          <w:p w14:paraId="2F4F1BC7" w14:textId="77777777" w:rsidR="005A0437" w:rsidRPr="00697E68" w:rsidRDefault="005A0437" w:rsidP="000E458A">
            <w:pPr>
              <w:pStyle w:val="Default"/>
              <w:jc w:val="center"/>
              <w:rPr>
                <w:rFonts w:ascii="Garamond" w:hAnsi="Garamond"/>
                <w:sz w:val="22"/>
                <w:szCs w:val="22"/>
              </w:rPr>
            </w:pPr>
            <w:r w:rsidRPr="00697E68">
              <w:rPr>
                <w:rFonts w:ascii="Garamond" w:hAnsi="Garamond"/>
                <w:sz w:val="22"/>
                <w:szCs w:val="22"/>
              </w:rPr>
              <w:t>Additional System RA</w:t>
            </w:r>
          </w:p>
          <w:p w14:paraId="08E964A8" w14:textId="77777777" w:rsidR="005A0437" w:rsidRPr="00697E68" w:rsidRDefault="005A0437" w:rsidP="000E458A">
            <w:pPr>
              <w:pStyle w:val="Default"/>
              <w:jc w:val="center"/>
              <w:rPr>
                <w:rFonts w:ascii="Garamond" w:hAnsi="Garamond"/>
                <w:sz w:val="22"/>
                <w:szCs w:val="22"/>
              </w:rPr>
            </w:pPr>
            <w:r w:rsidRPr="00697E68">
              <w:rPr>
                <w:rFonts w:ascii="Garamond" w:hAnsi="Garamond"/>
                <w:sz w:val="22"/>
                <w:szCs w:val="22"/>
              </w:rPr>
              <w:t>Resources Procured in Revised</w:t>
            </w:r>
          </w:p>
          <w:p w14:paraId="7CC73FD1" w14:textId="77777777" w:rsidR="005A0437" w:rsidRPr="004D2D25" w:rsidRDefault="005A0437" w:rsidP="000E458A">
            <w:pPr>
              <w:pStyle w:val="TableParagraph"/>
              <w:keepNext/>
              <w:keepLines/>
              <w:widowControl/>
              <w:ind w:left="163" w:right="151"/>
              <w:jc w:val="center"/>
              <w:rPr>
                <w:rFonts w:ascii="Garamond" w:hAnsi="Garamond"/>
              </w:rPr>
            </w:pPr>
            <w:r w:rsidRPr="00697E68">
              <w:rPr>
                <w:rFonts w:ascii="Garamond" w:hAnsi="Garamond"/>
              </w:rPr>
              <w:t>Filing</w:t>
            </w:r>
          </w:p>
        </w:tc>
        <w:tc>
          <w:tcPr>
            <w:tcW w:w="1620" w:type="dxa"/>
          </w:tcPr>
          <w:p w14:paraId="02E83D60" w14:textId="77777777" w:rsidR="005A0437" w:rsidRPr="004D2D25" w:rsidRDefault="005A0437" w:rsidP="000E458A">
            <w:pPr>
              <w:pStyle w:val="TableParagraph"/>
              <w:keepNext/>
              <w:keepLines/>
              <w:widowControl/>
              <w:ind w:left="163" w:right="151"/>
              <w:jc w:val="center"/>
              <w:rPr>
                <w:rFonts w:ascii="Garamond" w:hAnsi="Garamond"/>
              </w:rPr>
            </w:pPr>
            <w:r w:rsidRPr="004D2D25">
              <w:rPr>
                <w:rFonts w:ascii="Garamond" w:hAnsi="Garamond"/>
              </w:rPr>
              <w:t>Updated</w:t>
            </w:r>
          </w:p>
          <w:p w14:paraId="22873683" w14:textId="77777777" w:rsidR="005A0437" w:rsidRPr="004D2D25" w:rsidRDefault="005A0437" w:rsidP="000E458A">
            <w:pPr>
              <w:pStyle w:val="TableParagraph"/>
              <w:keepNext/>
              <w:keepLines/>
              <w:widowControl/>
              <w:ind w:left="163" w:right="151"/>
              <w:jc w:val="center"/>
              <w:rPr>
                <w:rFonts w:ascii="Garamond" w:hAnsi="Garamond"/>
              </w:rPr>
            </w:pPr>
            <w:r w:rsidRPr="004D2D25">
              <w:rPr>
                <w:rFonts w:ascii="Garamond" w:hAnsi="Garamond"/>
              </w:rPr>
              <w:t xml:space="preserve">Deficiency </w:t>
            </w:r>
            <w:r w:rsidRPr="004D2D25">
              <w:rPr>
                <w:rFonts w:ascii="Garamond" w:hAnsi="Garamond"/>
                <w:spacing w:val="-57"/>
              </w:rPr>
              <w:t xml:space="preserve">  </w:t>
            </w:r>
            <w:r w:rsidRPr="004D2D25">
              <w:rPr>
                <w:rFonts w:ascii="Garamond" w:hAnsi="Garamond"/>
              </w:rPr>
              <w:t>in</w:t>
            </w:r>
          </w:p>
          <w:p w14:paraId="384300A1" w14:textId="77777777" w:rsidR="005A0437" w:rsidRPr="004D2D25" w:rsidRDefault="005A0437" w:rsidP="000E458A">
            <w:pPr>
              <w:pStyle w:val="TableParagraph"/>
              <w:keepNext/>
              <w:keepLines/>
              <w:widowControl/>
              <w:ind w:left="163" w:right="151"/>
              <w:jc w:val="center"/>
              <w:rPr>
                <w:rFonts w:ascii="Garamond" w:hAnsi="Garamond"/>
              </w:rPr>
            </w:pPr>
            <w:r w:rsidRPr="004D2D25">
              <w:rPr>
                <w:rFonts w:ascii="Garamond" w:hAnsi="Garamond"/>
              </w:rPr>
              <w:t>System RA</w:t>
            </w:r>
          </w:p>
          <w:p w14:paraId="7D7C0470" w14:textId="77777777" w:rsidR="005A0437" w:rsidRPr="004D2D25" w:rsidRDefault="005A0437" w:rsidP="000E458A">
            <w:pPr>
              <w:pStyle w:val="TableParagraph"/>
              <w:keepNext/>
              <w:keepLines/>
              <w:widowControl/>
              <w:ind w:left="163" w:right="151"/>
              <w:jc w:val="center"/>
              <w:rPr>
                <w:rFonts w:ascii="Garamond" w:hAnsi="Garamond"/>
              </w:rPr>
            </w:pPr>
            <w:r w:rsidRPr="004D2D25">
              <w:rPr>
                <w:rFonts w:ascii="Garamond" w:hAnsi="Garamond"/>
              </w:rPr>
              <w:t>Requirement</w:t>
            </w:r>
          </w:p>
        </w:tc>
      </w:tr>
      <w:tr w:rsidR="005A0437" w:rsidRPr="004D2D25" w14:paraId="7B80021C" w14:textId="77777777" w:rsidTr="000E458A">
        <w:trPr>
          <w:trHeight w:val="282"/>
          <w:jc w:val="center"/>
        </w:trPr>
        <w:tc>
          <w:tcPr>
            <w:tcW w:w="1530" w:type="dxa"/>
            <w:vAlign w:val="center"/>
          </w:tcPr>
          <w:p w14:paraId="73C9F423" w14:textId="5B5D71B6" w:rsidR="005A0437" w:rsidRPr="004D2D25" w:rsidRDefault="005A0437" w:rsidP="000E458A">
            <w:pPr>
              <w:pStyle w:val="TableParagraph"/>
              <w:keepNext/>
              <w:keepLines/>
              <w:widowControl/>
              <w:spacing w:before="3" w:line="259" w:lineRule="exact"/>
              <w:ind w:left="107"/>
              <w:jc w:val="center"/>
              <w:rPr>
                <w:rFonts w:ascii="Garamond" w:hAnsi="Garamond"/>
              </w:rPr>
            </w:pPr>
            <w:r>
              <w:rPr>
                <w:rFonts w:ascii="Garamond" w:hAnsi="Garamond"/>
              </w:rPr>
              <w:t>September</w:t>
            </w:r>
          </w:p>
        </w:tc>
        <w:tc>
          <w:tcPr>
            <w:tcW w:w="1710" w:type="dxa"/>
          </w:tcPr>
          <w:p w14:paraId="25A7EA7D" w14:textId="042AC982" w:rsidR="005A0437" w:rsidRPr="00A27D2F" w:rsidRDefault="00A27D2F" w:rsidP="000E458A">
            <w:pPr>
              <w:pStyle w:val="TableParagraph"/>
              <w:keepNext/>
              <w:keepLines/>
              <w:widowControl/>
              <w:spacing w:before="3" w:line="259" w:lineRule="exact"/>
              <w:jc w:val="center"/>
              <w:rPr>
                <w:rFonts w:ascii="Garamond" w:hAnsi="Garamond"/>
                <w:highlight w:val="black"/>
              </w:rPr>
            </w:pPr>
            <w:r w:rsidRPr="00A27D2F">
              <w:rPr>
                <w:rFonts w:ascii="Garamond" w:hAnsi="Garamond"/>
                <w:highlight w:val="black"/>
              </w:rPr>
              <w:t>X</w:t>
            </w:r>
            <w:r w:rsidR="005A0437" w:rsidRPr="00A27D2F">
              <w:rPr>
                <w:rFonts w:ascii="Garamond" w:hAnsi="Garamond"/>
                <w:highlight w:val="black"/>
              </w:rPr>
              <w:t xml:space="preserve"> </w:t>
            </w:r>
          </w:p>
        </w:tc>
        <w:tc>
          <w:tcPr>
            <w:tcW w:w="1800" w:type="dxa"/>
          </w:tcPr>
          <w:p w14:paraId="35DB75FB" w14:textId="1163FE26" w:rsidR="005A0437" w:rsidRPr="00A27D2F" w:rsidRDefault="00A27D2F" w:rsidP="000E458A">
            <w:pPr>
              <w:pStyle w:val="TableParagraph"/>
              <w:keepNext/>
              <w:keepLines/>
              <w:widowControl/>
              <w:spacing w:before="3" w:line="259" w:lineRule="exact"/>
              <w:jc w:val="center"/>
              <w:rPr>
                <w:rFonts w:ascii="Garamond" w:hAnsi="Garamond"/>
                <w:highlight w:val="black"/>
              </w:rPr>
            </w:pPr>
            <w:r w:rsidRPr="00A27D2F">
              <w:rPr>
                <w:rFonts w:ascii="Garamond" w:hAnsi="Garamond"/>
                <w:highlight w:val="black"/>
              </w:rPr>
              <w:t>X</w:t>
            </w:r>
          </w:p>
        </w:tc>
        <w:tc>
          <w:tcPr>
            <w:tcW w:w="1620" w:type="dxa"/>
          </w:tcPr>
          <w:p w14:paraId="3F49FD58" w14:textId="690BF4A0" w:rsidR="005A0437" w:rsidRPr="004D2D25" w:rsidRDefault="004D78D5" w:rsidP="000E458A">
            <w:pPr>
              <w:pStyle w:val="TableParagraph"/>
              <w:keepNext/>
              <w:keepLines/>
              <w:widowControl/>
              <w:spacing w:before="3" w:line="259" w:lineRule="exact"/>
              <w:ind w:left="161" w:right="151"/>
              <w:jc w:val="center"/>
              <w:rPr>
                <w:rFonts w:ascii="Garamond" w:hAnsi="Garamond"/>
                <w:b/>
              </w:rPr>
            </w:pPr>
            <w:r>
              <w:rPr>
                <w:rFonts w:ascii="Garamond" w:hAnsi="Garamond"/>
                <w:b/>
                <w:color w:val="FF0000"/>
              </w:rPr>
              <w:t>153.24</w:t>
            </w:r>
            <w:r w:rsidR="005A0437">
              <w:rPr>
                <w:rStyle w:val="FootnoteReference"/>
                <w:rFonts w:ascii="Garamond" w:hAnsi="Garamond"/>
                <w:b/>
                <w:bCs/>
                <w:color w:val="FF0000"/>
              </w:rPr>
              <w:footnoteReference w:id="5"/>
            </w:r>
          </w:p>
        </w:tc>
        <w:tc>
          <w:tcPr>
            <w:tcW w:w="1620" w:type="dxa"/>
          </w:tcPr>
          <w:p w14:paraId="1488E6AC" w14:textId="2A5C1D58" w:rsidR="005A0437" w:rsidRPr="004D2D25" w:rsidRDefault="00A27D2F" w:rsidP="000E458A">
            <w:pPr>
              <w:pStyle w:val="TableParagraph"/>
              <w:keepNext/>
              <w:keepLines/>
              <w:widowControl/>
              <w:spacing w:before="3" w:line="259" w:lineRule="exact"/>
              <w:ind w:left="161" w:right="151"/>
              <w:jc w:val="center"/>
              <w:rPr>
                <w:rFonts w:ascii="Garamond" w:hAnsi="Garamond"/>
                <w:bCs/>
                <w:color w:val="FF0000"/>
              </w:rPr>
            </w:pPr>
            <w:r w:rsidRPr="00A27D2F">
              <w:rPr>
                <w:rFonts w:ascii="Garamond" w:hAnsi="Garamond"/>
                <w:bCs/>
                <w:highlight w:val="black"/>
              </w:rPr>
              <w:t>X</w:t>
            </w:r>
          </w:p>
        </w:tc>
        <w:tc>
          <w:tcPr>
            <w:tcW w:w="1620" w:type="dxa"/>
          </w:tcPr>
          <w:p w14:paraId="630615D2" w14:textId="46BC7475" w:rsidR="005A0437" w:rsidRPr="004D2D25" w:rsidRDefault="00D02355" w:rsidP="000E458A">
            <w:pPr>
              <w:pStyle w:val="TableParagraph"/>
              <w:keepNext/>
              <w:keepLines/>
              <w:widowControl/>
              <w:spacing w:before="3" w:line="259" w:lineRule="exact"/>
              <w:ind w:left="161" w:right="151"/>
              <w:jc w:val="center"/>
              <w:rPr>
                <w:rFonts w:ascii="Garamond" w:hAnsi="Garamond"/>
                <w:b/>
                <w:color w:val="FF0000"/>
              </w:rPr>
            </w:pPr>
            <w:r>
              <w:rPr>
                <w:rFonts w:ascii="Garamond" w:hAnsi="Garamond"/>
                <w:b/>
                <w:bCs/>
                <w:color w:val="FF0000"/>
              </w:rPr>
              <w:t>136.24</w:t>
            </w:r>
          </w:p>
        </w:tc>
      </w:tr>
    </w:tbl>
    <w:p w14:paraId="79D2D219" w14:textId="77777777" w:rsidR="005A0437" w:rsidRPr="007E1C2A" w:rsidRDefault="005A0437" w:rsidP="00310332">
      <w:pPr>
        <w:spacing w:after="0" w:line="360" w:lineRule="auto"/>
        <w:ind w:firstLine="720"/>
      </w:pPr>
    </w:p>
    <w:p w14:paraId="38FF8027" w14:textId="6400D0E7" w:rsidR="0068008C" w:rsidRPr="007E1C2A" w:rsidRDefault="0068008C" w:rsidP="0068008C">
      <w:pPr>
        <w:spacing w:after="0" w:line="360" w:lineRule="auto"/>
        <w:ind w:firstLine="720"/>
      </w:pPr>
      <w:r w:rsidRPr="00A27D2F">
        <w:t xml:space="preserve">CEA accrued two points for its </w:t>
      </w:r>
      <w:r w:rsidR="00410CA5" w:rsidRPr="00A27D2F">
        <w:t>136.24</w:t>
      </w:r>
      <w:r w:rsidRPr="00A27D2F">
        <w:t xml:space="preserve"> MW of System RA deficiency in </w:t>
      </w:r>
      <w:r w:rsidR="007E1C2A" w:rsidRPr="00A27D2F">
        <w:t>September</w:t>
      </w:r>
      <w:r w:rsidRPr="00A27D2F">
        <w:t xml:space="preserve"> 2024 remedied after five business days from the date of notification by ED or not remedied at all.  CEA’s total points accrued through the</w:t>
      </w:r>
      <w:r w:rsidR="007E1C2A" w:rsidRPr="00A27D2F">
        <w:t xml:space="preserve"> September</w:t>
      </w:r>
      <w:r w:rsidRPr="00A27D2F">
        <w:t xml:space="preserve"> 2024 compliance period has reached </w:t>
      </w:r>
      <w:r w:rsidR="007E1C2A" w:rsidRPr="00A27D2F">
        <w:t>eight</w:t>
      </w:r>
      <w:r w:rsidRPr="00A27D2F">
        <w:t xml:space="preserve">.  Therefore, CEA is now in Tier 2 of the Tiered System RA Penalty Structure adopted in D.21-06-029 and 2x the applicable </w:t>
      </w:r>
      <w:r w:rsidR="00937268" w:rsidRPr="00A27D2F">
        <w:t>S</w:t>
      </w:r>
      <w:r w:rsidRPr="00A27D2F">
        <w:t xml:space="preserve">ystem RA penalty price will apply to all System RA deficiencies for the </w:t>
      </w:r>
      <w:r w:rsidR="007E1C2A" w:rsidRPr="00A27D2F">
        <w:t>September</w:t>
      </w:r>
      <w:r w:rsidRPr="00A27D2F">
        <w:t xml:space="preserve"> 2024 compliance period.</w:t>
      </w:r>
      <w:r w:rsidRPr="00A27D2F">
        <w:rPr>
          <w:rStyle w:val="FootnoteReference"/>
        </w:rPr>
        <w:footnoteReference w:id="6"/>
      </w:r>
      <w:r w:rsidRPr="007E1C2A">
        <w:t xml:space="preserve">  </w:t>
      </w:r>
    </w:p>
    <w:p w14:paraId="60444F14" w14:textId="12EACD96" w:rsidR="00A03E21" w:rsidRDefault="00A03E21" w:rsidP="006E45A5">
      <w:pPr>
        <w:spacing w:after="0" w:line="360" w:lineRule="auto"/>
        <w:ind w:firstLine="720"/>
      </w:pPr>
      <w:r>
        <w:t xml:space="preserve">Pursuant to </w:t>
      </w:r>
      <w:r w:rsidRPr="004D2D25">
        <w:t>D.2</w:t>
      </w:r>
      <w:r>
        <w:t>3</w:t>
      </w:r>
      <w:r w:rsidRPr="004D2D25">
        <w:t>-06-02</w:t>
      </w:r>
      <w:r>
        <w:t xml:space="preserve">, </w:t>
      </w:r>
      <w:r w:rsidR="006E45A5">
        <w:t>i</w:t>
      </w:r>
      <w:r w:rsidRPr="00E73678">
        <w:t xml:space="preserve">f an LSE enters a higher tier during a year in which it incurs year-ahead </w:t>
      </w:r>
      <w:r w:rsidR="00482BD5">
        <w:t xml:space="preserve">(YA) </w:t>
      </w:r>
      <w:r w:rsidRPr="00E73678">
        <w:t>deficiencies, the higher penalty will apply beginning with the monthly deficiency when the LSE enters the higher tier.</w:t>
      </w:r>
      <w:r w:rsidR="006E45A5">
        <w:rPr>
          <w:rStyle w:val="FootnoteReference"/>
        </w:rPr>
        <w:footnoteReference w:id="7"/>
      </w:r>
      <w:r w:rsidR="006E45A5">
        <w:t xml:space="preserve">  In addition, </w:t>
      </w:r>
      <w:r>
        <w:t xml:space="preserve">all </w:t>
      </w:r>
      <w:r w:rsidR="00482BD5">
        <w:t>YA</w:t>
      </w:r>
      <w:r>
        <w:t xml:space="preserve"> RA deficiencies will be charged </w:t>
      </w:r>
      <w:r w:rsidRPr="0067698F">
        <w:t xml:space="preserve">at the Tier 1 price, and in the </w:t>
      </w:r>
      <w:r>
        <w:t>MA</w:t>
      </w:r>
      <w:r w:rsidRPr="0067698F">
        <w:t xml:space="preserve"> RA process, the </w:t>
      </w:r>
      <w:r>
        <w:t>L</w:t>
      </w:r>
      <w:r w:rsidRPr="0067698F">
        <w:t xml:space="preserve">SE will pay the difference between its </w:t>
      </w:r>
      <w:r w:rsidR="00937268">
        <w:t>MA</w:t>
      </w:r>
      <w:r w:rsidRPr="0067698F">
        <w:t xml:space="preserve"> tier penalty and the Tier 1 penalty that was already paid on its </w:t>
      </w:r>
      <w:r w:rsidR="00482BD5">
        <w:t>YA</w:t>
      </w:r>
      <w:r w:rsidRPr="0067698F">
        <w:t xml:space="preserve"> RA deficiency, plus the </w:t>
      </w:r>
      <w:r w:rsidR="00482BD5">
        <w:t>load serving entities’ (</w:t>
      </w:r>
      <w:r w:rsidRPr="0067698F">
        <w:t>LSE</w:t>
      </w:r>
      <w:r w:rsidR="00482BD5">
        <w:t>)</w:t>
      </w:r>
      <w:r w:rsidRPr="0067698F">
        <w:t xml:space="preserve"> current tier price on any incremental </w:t>
      </w:r>
      <w:r w:rsidR="00937268">
        <w:t>MA</w:t>
      </w:r>
      <w:r w:rsidRPr="0067698F">
        <w:t xml:space="preserve"> RA deficiency.</w:t>
      </w:r>
      <w:r w:rsidR="006E45A5">
        <w:rPr>
          <w:rStyle w:val="FootnoteReference"/>
        </w:rPr>
        <w:footnoteReference w:id="8"/>
      </w:r>
      <w:r w:rsidRPr="0067698F">
        <w:t xml:space="preserve"> </w:t>
      </w:r>
      <w:r w:rsidR="007E2C99">
        <w:t xml:space="preserve"> </w:t>
      </w:r>
      <w:r w:rsidR="006E45A5">
        <w:t>Therefore, t</w:t>
      </w:r>
      <w:r w:rsidRPr="0067698F">
        <w:t xml:space="preserve">he following formula will be applied: </w:t>
      </w:r>
    </w:p>
    <w:p w14:paraId="420E762D" w14:textId="0EF2B742" w:rsidR="00A03E21" w:rsidRDefault="00A03E21" w:rsidP="0010784E">
      <w:pPr>
        <w:spacing w:after="0" w:line="360" w:lineRule="auto"/>
        <w:ind w:left="720"/>
        <w:rPr>
          <w:b/>
          <w:bCs/>
        </w:rPr>
      </w:pPr>
      <w:r w:rsidRPr="00170542">
        <w:rPr>
          <w:b/>
          <w:bCs/>
        </w:rPr>
        <w:t>Month-Ahead penalty = [(Deficiency</w:t>
      </w:r>
      <w:r w:rsidRPr="00170542">
        <w:rPr>
          <w:b/>
          <w:bCs/>
          <w:vertAlign w:val="superscript"/>
        </w:rPr>
        <w:t xml:space="preserve">Year-Ahead </w:t>
      </w:r>
      <w:r w:rsidRPr="00170542">
        <w:rPr>
          <w:b/>
          <w:bCs/>
        </w:rPr>
        <w:t>x Tier Price</w:t>
      </w:r>
      <w:r w:rsidRPr="00170542">
        <w:rPr>
          <w:b/>
          <w:bCs/>
          <w:vertAlign w:val="superscript"/>
        </w:rPr>
        <w:t>Month-Ahead</w:t>
      </w:r>
      <w:r w:rsidRPr="00170542">
        <w:rPr>
          <w:b/>
          <w:bCs/>
        </w:rPr>
        <w:t xml:space="preserve">) – Year-Ahead penalty] + (Deficiency </w:t>
      </w:r>
      <w:r w:rsidRPr="00170542">
        <w:rPr>
          <w:b/>
          <w:bCs/>
          <w:vertAlign w:val="superscript"/>
        </w:rPr>
        <w:t>Month-Ahead</w:t>
      </w:r>
      <w:r w:rsidRPr="00170542">
        <w:rPr>
          <w:b/>
          <w:bCs/>
        </w:rPr>
        <w:t xml:space="preserve"> incremental x Tier Price</w:t>
      </w:r>
      <w:r w:rsidRPr="00170542">
        <w:rPr>
          <w:b/>
          <w:bCs/>
          <w:vertAlign w:val="superscript"/>
        </w:rPr>
        <w:t>Month-Ahead</w:t>
      </w:r>
      <w:r w:rsidRPr="00170542">
        <w:rPr>
          <w:b/>
          <w:bCs/>
        </w:rPr>
        <w:t>)</w:t>
      </w:r>
    </w:p>
    <w:p w14:paraId="5C9B7E46" w14:textId="77777777" w:rsidR="001901F6" w:rsidRDefault="001901F6" w:rsidP="0010784E">
      <w:pPr>
        <w:spacing w:after="0" w:line="360" w:lineRule="auto"/>
        <w:ind w:left="720"/>
        <w:rPr>
          <w:b/>
          <w:bCs/>
        </w:rPr>
      </w:pPr>
    </w:p>
    <w:p w14:paraId="1CDE98DE" w14:textId="17FAB94B" w:rsidR="007479E9" w:rsidRPr="00826FB7" w:rsidRDefault="007479E9" w:rsidP="006E45A5">
      <w:pPr>
        <w:spacing w:after="0" w:line="360" w:lineRule="auto"/>
        <w:ind w:firstLine="720"/>
      </w:pPr>
      <w:r>
        <w:t>On March 15, 2024, CPED issued Citation E-4195-0162 to CEA for failure to meet its 2024 YA System RA obligations.  Citation E-</w:t>
      </w:r>
      <w:r w:rsidRPr="00A27D2F">
        <w:t xml:space="preserve">4195-0162 includes a </w:t>
      </w:r>
      <w:r w:rsidR="002511EC" w:rsidRPr="00A27D2F">
        <w:t>134.38</w:t>
      </w:r>
      <w:r w:rsidRPr="00A27D2F">
        <w:t xml:space="preserve"> MW System RA deficiency for CEA’s </w:t>
      </w:r>
      <w:r w:rsidR="002511EC" w:rsidRPr="00A27D2F">
        <w:t>September</w:t>
      </w:r>
      <w:r w:rsidRPr="00A27D2F">
        <w:t xml:space="preserve"> 2024 YA obligation.</w:t>
      </w:r>
      <w:r w:rsidRPr="00A27D2F">
        <w:rPr>
          <w:rStyle w:val="FootnoteReference"/>
        </w:rPr>
        <w:footnoteReference w:id="9"/>
      </w:r>
      <w:r w:rsidRPr="00A27D2F">
        <w:t xml:space="preserve">  Accordingly, CEA is being </w:t>
      </w:r>
      <w:r w:rsidR="006E45A5" w:rsidRPr="00A27D2F">
        <w:t xml:space="preserve">cited for its </w:t>
      </w:r>
      <w:r w:rsidR="00067A96" w:rsidRPr="00A27D2F">
        <w:t>134.38</w:t>
      </w:r>
      <w:r w:rsidR="006E45A5" w:rsidRPr="00A27D2F">
        <w:t xml:space="preserve"> MW of YA System RA deficiency and </w:t>
      </w:r>
      <w:r w:rsidR="00C612D2" w:rsidRPr="00A27D2F">
        <w:t>1.86</w:t>
      </w:r>
      <w:r w:rsidRPr="00A27D2F">
        <w:t xml:space="preserve"> MW (</w:t>
      </w:r>
      <w:r w:rsidR="00206011" w:rsidRPr="00A27D2F">
        <w:t>136.24</w:t>
      </w:r>
      <w:r w:rsidRPr="00A27D2F">
        <w:t xml:space="preserve"> MW minus </w:t>
      </w:r>
      <w:r w:rsidR="00067A96" w:rsidRPr="00A27D2F">
        <w:t>134.38</w:t>
      </w:r>
      <w:r w:rsidRPr="00A27D2F">
        <w:t xml:space="preserve"> MW) of incremental System RA deficiency for </w:t>
      </w:r>
      <w:r w:rsidR="00C96DC0" w:rsidRPr="00A27D2F">
        <w:t>September</w:t>
      </w:r>
      <w:r w:rsidRPr="00A27D2F">
        <w:t xml:space="preserve"> 2024.</w:t>
      </w:r>
    </w:p>
    <w:p w14:paraId="5D5F41C6" w14:textId="77777777" w:rsidR="00530585" w:rsidRPr="00045DEE" w:rsidRDefault="00530585" w:rsidP="00530585">
      <w:pPr>
        <w:spacing w:after="0" w:line="360" w:lineRule="auto"/>
        <w:ind w:firstLine="720"/>
      </w:pPr>
      <w:r w:rsidRPr="00045DEE">
        <w:t>This violation is for:</w:t>
      </w:r>
    </w:p>
    <w:p w14:paraId="2A6B3760" w14:textId="542F0AB0" w:rsidR="00530585" w:rsidRPr="00045DEE" w:rsidRDefault="00530585" w:rsidP="00DE500D">
      <w:pPr>
        <w:pStyle w:val="ListParagraph"/>
        <w:numPr>
          <w:ilvl w:val="0"/>
          <w:numId w:val="11"/>
        </w:numPr>
        <w:spacing w:line="360" w:lineRule="auto"/>
        <w:rPr>
          <w:rFonts w:ascii="Garamond" w:hAnsi="Garamond"/>
        </w:rPr>
      </w:pPr>
      <w:r w:rsidRPr="00045DEE">
        <w:rPr>
          <w:rFonts w:ascii="Garamond" w:hAnsi="Garamond"/>
        </w:rPr>
        <w:lastRenderedPageBreak/>
        <w:t>System RA deficiency cured within five business days from the date of notification by ED;</w:t>
      </w:r>
    </w:p>
    <w:p w14:paraId="74329946" w14:textId="656A025F" w:rsidR="00DE500D" w:rsidRPr="00045DEE" w:rsidRDefault="00045DEE" w:rsidP="00DE500D">
      <w:pPr>
        <w:pStyle w:val="ListParagraph"/>
        <w:numPr>
          <w:ilvl w:val="0"/>
          <w:numId w:val="11"/>
        </w:numPr>
        <w:spacing w:line="360" w:lineRule="auto"/>
        <w:rPr>
          <w:rFonts w:ascii="Garamond" w:hAnsi="Garamond"/>
        </w:rPr>
      </w:pPr>
      <w:r w:rsidRPr="00045DEE">
        <w:rPr>
          <w:rFonts w:ascii="Garamond" w:hAnsi="Garamond"/>
        </w:rPr>
        <w:t>System RA deficiency remedied after five business days from the date of notification by</w:t>
      </w:r>
    </w:p>
    <w:p w14:paraId="4BCD6135" w14:textId="52327BFE" w:rsidR="00F74D7A" w:rsidRDefault="00530585" w:rsidP="00F74D7A">
      <w:pPr>
        <w:spacing w:after="0" w:line="360" w:lineRule="auto"/>
        <w:ind w:left="1080"/>
      </w:pPr>
      <w:r w:rsidRPr="00045DEE">
        <w:t>ED or not remedied at all for the month of September 2024.</w:t>
      </w:r>
    </w:p>
    <w:p w14:paraId="37DF31BF" w14:textId="2411993A" w:rsidR="00FE7355" w:rsidRPr="00590D2F" w:rsidRDefault="00FE7355" w:rsidP="00FE7355">
      <w:pPr>
        <w:spacing w:after="0" w:line="360" w:lineRule="auto"/>
        <w:ind w:firstLine="720"/>
      </w:pPr>
      <w:r w:rsidRPr="00590D2F">
        <w:t>Scheduled penalties prescribe a $10,000.00 per incident for System RA deficiency cured within five business days from the date of notification by ED if the deficiency is over 10.00 MW.</w:t>
      </w:r>
      <w:r w:rsidRPr="00590D2F">
        <w:rPr>
          <w:vertAlign w:val="superscript"/>
        </w:rPr>
        <w:footnoteReference w:id="10"/>
      </w:r>
      <w:r w:rsidRPr="00590D2F">
        <w:t xml:space="preserve">  Accordingly, </w:t>
      </w:r>
      <w:r w:rsidR="00E76BF1">
        <w:t>CEA</w:t>
      </w:r>
      <w:r w:rsidRPr="00590D2F">
        <w:t xml:space="preserve"> is being cited $10,000.00 for its 1</w:t>
      </w:r>
      <w:r w:rsidR="00E76BF1">
        <w:t>7</w:t>
      </w:r>
      <w:r w:rsidRPr="00590D2F">
        <w:t>.0</w:t>
      </w:r>
      <w:r w:rsidR="00E76BF1">
        <w:t>0</w:t>
      </w:r>
      <w:r w:rsidRPr="00590D2F">
        <w:t xml:space="preserve"> MW of System RA deficiency in </w:t>
      </w:r>
      <w:r w:rsidR="00B82E12">
        <w:t>September</w:t>
      </w:r>
      <w:r w:rsidRPr="00590D2F">
        <w:t xml:space="preserve"> 2024 cured within five business days from the date of notification by ED.</w:t>
      </w:r>
    </w:p>
    <w:p w14:paraId="0FD1D1DF" w14:textId="45899C2A" w:rsidR="007479E9" w:rsidRPr="00A27D2F" w:rsidRDefault="007479E9" w:rsidP="00530585">
      <w:pPr>
        <w:spacing w:after="0" w:line="360" w:lineRule="auto"/>
        <w:ind w:firstLine="720"/>
      </w:pPr>
      <w:r w:rsidRPr="00045DEE">
        <w:t>Scheduled penalties prescribe an $8.88/kW-month in summer</w:t>
      </w:r>
      <w:r>
        <w:t xml:space="preserve"> months (May through October) and $4.44/kW-month in non-summer months for a System RA deficiency remedied after five business days from the date of notification by ED or not remedied at all.</w:t>
      </w:r>
      <w:r w:rsidR="00BA2486">
        <w:rPr>
          <w:rStyle w:val="FootnoteReference"/>
        </w:rPr>
        <w:footnoteReference w:id="11"/>
      </w:r>
      <w:r>
        <w:t xml:space="preserve">   </w:t>
      </w:r>
      <w:r w:rsidR="006E45A5">
        <w:t>The</w:t>
      </w:r>
      <w:r>
        <w:t xml:space="preserve"> Tier 2 penalty (2x the applicable </w:t>
      </w:r>
      <w:r w:rsidR="00937268">
        <w:t>S</w:t>
      </w:r>
      <w:r>
        <w:t xml:space="preserve">ystem RA penalty price) </w:t>
      </w:r>
      <w:r w:rsidR="006E45A5">
        <w:t>is $</w:t>
      </w:r>
      <w:r w:rsidR="00667560">
        <w:t>17.76</w:t>
      </w:r>
      <w:r w:rsidR="006E45A5">
        <w:t xml:space="preserve">/kW-month in summer months (May through October) and $8.88/kW-month in non-summer months for a System RA deficiency remedied after five </w:t>
      </w:r>
      <w:r w:rsidR="006E45A5" w:rsidRPr="00A27D2F">
        <w:t>business days from the date of notification by ED or not remedied at all</w:t>
      </w:r>
      <w:r w:rsidR="00482BD5" w:rsidRPr="00A27D2F">
        <w:t>.</w:t>
      </w:r>
    </w:p>
    <w:p w14:paraId="68FF9351" w14:textId="04E4E5EF" w:rsidR="00310332" w:rsidRDefault="007479E9" w:rsidP="0054451E">
      <w:pPr>
        <w:spacing w:after="0" w:line="360" w:lineRule="auto"/>
        <w:ind w:firstLine="720"/>
      </w:pPr>
      <w:r w:rsidRPr="00A27D2F">
        <w:t>Accordingly, CEA is being cited $</w:t>
      </w:r>
      <w:r w:rsidR="000B4931" w:rsidRPr="00A27D2F">
        <w:t>1,2</w:t>
      </w:r>
      <w:r w:rsidR="00F42E8C" w:rsidRPr="00A27D2F">
        <w:t>2</w:t>
      </w:r>
      <w:r w:rsidR="000B4931" w:rsidRPr="00A27D2F">
        <w:t>6,328.00</w:t>
      </w:r>
      <w:r w:rsidRPr="00A27D2F">
        <w:t xml:space="preserve"> </w:t>
      </w:r>
      <w:r w:rsidR="00482BD5" w:rsidRPr="00A27D2F">
        <w:t>{</w:t>
      </w:r>
      <w:r w:rsidR="006E45A5" w:rsidRPr="00A27D2F">
        <w:t>[(</w:t>
      </w:r>
      <w:r w:rsidR="00C06170" w:rsidRPr="00A27D2F">
        <w:t>134.38</w:t>
      </w:r>
      <w:r w:rsidR="006E45A5" w:rsidRPr="00A27D2F">
        <w:t xml:space="preserve"> MW x $</w:t>
      </w:r>
      <w:r w:rsidR="00667560" w:rsidRPr="00A27D2F">
        <w:t>17.76</w:t>
      </w:r>
      <w:r w:rsidR="006E45A5" w:rsidRPr="00A27D2F">
        <w:t>) – (</w:t>
      </w:r>
      <w:r w:rsidR="00C06170" w:rsidRPr="00A27D2F">
        <w:t>134.38</w:t>
      </w:r>
      <w:r w:rsidR="006E45A5" w:rsidRPr="00A27D2F">
        <w:t xml:space="preserve"> MW x $8.88)] + (</w:t>
      </w:r>
      <w:r w:rsidR="00CC4009" w:rsidRPr="00A27D2F">
        <w:t>1.86</w:t>
      </w:r>
      <w:r w:rsidR="006E45A5" w:rsidRPr="00A27D2F">
        <w:t xml:space="preserve"> MW x $</w:t>
      </w:r>
      <w:r w:rsidR="00667560" w:rsidRPr="00A27D2F">
        <w:t>17.76</w:t>
      </w:r>
      <w:r w:rsidR="006E45A5" w:rsidRPr="00A27D2F">
        <w:t>)</w:t>
      </w:r>
      <w:r w:rsidR="00482BD5" w:rsidRPr="00A27D2F">
        <w:t>}</w:t>
      </w:r>
      <w:r w:rsidR="006E45A5" w:rsidRPr="00A27D2F">
        <w:t xml:space="preserve"> </w:t>
      </w:r>
      <w:r w:rsidRPr="00A27D2F">
        <w:t xml:space="preserve">for its </w:t>
      </w:r>
      <w:r w:rsidR="001D4BF7" w:rsidRPr="00A27D2F">
        <w:t>134.38</w:t>
      </w:r>
      <w:r w:rsidR="006E45A5" w:rsidRPr="00A27D2F">
        <w:t xml:space="preserve"> MW of YA System RA deficiency and </w:t>
      </w:r>
      <w:r w:rsidR="001D4BF7" w:rsidRPr="00A27D2F">
        <w:t>1.86</w:t>
      </w:r>
      <w:r w:rsidRPr="00A27D2F">
        <w:t xml:space="preserve"> MW (</w:t>
      </w:r>
      <w:r w:rsidR="001F25F3" w:rsidRPr="00A27D2F">
        <w:t>136.24</w:t>
      </w:r>
      <w:r w:rsidRPr="00A27D2F">
        <w:t xml:space="preserve"> MW minus </w:t>
      </w:r>
      <w:r w:rsidR="00932BEC" w:rsidRPr="00A27D2F">
        <w:t>134.38</w:t>
      </w:r>
      <w:r w:rsidRPr="00A27D2F">
        <w:t xml:space="preserve"> MW) of incremental System RA deficiency remedied after five business days from the date of ED’s notification or not remedied at all for the month of </w:t>
      </w:r>
      <w:r w:rsidR="00B900FD" w:rsidRPr="00A27D2F">
        <w:t>September</w:t>
      </w:r>
      <w:r w:rsidRPr="00A27D2F">
        <w:t xml:space="preserve"> 2024.</w:t>
      </w:r>
    </w:p>
    <w:p w14:paraId="2227AA9D" w14:textId="77777777" w:rsidR="00400B8F" w:rsidRPr="004D2D25" w:rsidRDefault="00400B8F" w:rsidP="00400B8F">
      <w:pPr>
        <w:spacing w:after="0" w:line="360" w:lineRule="auto"/>
        <w:ind w:firstLine="720"/>
      </w:pPr>
      <w:r w:rsidRPr="00614C6B">
        <w:t xml:space="preserve">The total penalty </w:t>
      </w:r>
      <w:r>
        <w:t>for CEA’s September 2024 RA deficiency is</w:t>
      </w:r>
      <w:r w:rsidRPr="00614C6B">
        <w:t xml:space="preserve"> $</w:t>
      </w:r>
      <w:r>
        <w:t>1,236,328.00</w:t>
      </w:r>
      <w:r w:rsidRPr="00614C6B">
        <w:t xml:space="preserve"> ($10,000.00 + $</w:t>
      </w:r>
      <w:r>
        <w:t>1,226,328.00</w:t>
      </w:r>
      <w:r w:rsidRPr="00614C6B">
        <w:t>).</w:t>
      </w:r>
    </w:p>
    <w:p w14:paraId="1F934DF1" w14:textId="77777777" w:rsidR="00310332" w:rsidRPr="004D2D25" w:rsidRDefault="00310332" w:rsidP="00310332">
      <w:pPr>
        <w:spacing w:after="0" w:line="360" w:lineRule="auto"/>
        <w:ind w:firstLine="720"/>
      </w:pPr>
    </w:p>
    <w:p w14:paraId="7E30C01D" w14:textId="70B71205" w:rsidR="0026038E" w:rsidRPr="004D2D25" w:rsidRDefault="0072659E" w:rsidP="00310332">
      <w:pPr>
        <w:spacing w:after="0" w:line="360" w:lineRule="auto"/>
        <w:ind w:left="720"/>
        <w:rPr>
          <w:rStyle w:val="Heading2Char"/>
          <w:rFonts w:ascii="Garamond" w:hAnsi="Garamond"/>
        </w:rPr>
      </w:pPr>
      <w:r w:rsidRPr="004D2D25">
        <w:rPr>
          <w:rFonts w:eastAsiaTheme="majorEastAsia" w:cstheme="majorBidi"/>
          <w:b/>
          <w:bCs/>
          <w:color w:val="000000" w:themeColor="text1"/>
        </w:rPr>
        <w:t>B.</w:t>
      </w:r>
      <w:r w:rsidRPr="004D2D25">
        <w:rPr>
          <w:rFonts w:eastAsiaTheme="majorEastAsia" w:cstheme="majorBidi"/>
          <w:b/>
          <w:bCs/>
          <w:color w:val="000000" w:themeColor="text1"/>
        </w:rPr>
        <w:tab/>
      </w:r>
      <w:r w:rsidR="00E04A10">
        <w:rPr>
          <w:rStyle w:val="Heading2Char"/>
          <w:rFonts w:ascii="Garamond" w:hAnsi="Garamond"/>
          <w:b/>
          <w:bCs/>
          <w:i w:val="0"/>
          <w:iCs w:val="0"/>
        </w:rPr>
        <w:t>Clean Energy Alliance</w:t>
      </w:r>
      <w:r w:rsidRPr="004D2D25">
        <w:rPr>
          <w:rStyle w:val="Heading2Char"/>
          <w:rFonts w:ascii="Garamond" w:hAnsi="Garamond"/>
          <w:b/>
          <w:bCs/>
          <w:i w:val="0"/>
          <w:iCs w:val="0"/>
        </w:rPr>
        <w:t xml:space="preserve">’s </w:t>
      </w:r>
      <w:r w:rsidR="006A192C">
        <w:rPr>
          <w:rStyle w:val="Heading2Char"/>
          <w:rFonts w:ascii="Garamond" w:hAnsi="Garamond"/>
          <w:b/>
          <w:bCs/>
          <w:i w:val="0"/>
          <w:iCs w:val="0"/>
        </w:rPr>
        <w:t>September</w:t>
      </w:r>
      <w:r w:rsidR="00E04A10">
        <w:rPr>
          <w:rStyle w:val="Heading2Char"/>
          <w:rFonts w:ascii="Garamond" w:hAnsi="Garamond"/>
          <w:b/>
          <w:bCs/>
          <w:i w:val="0"/>
          <w:iCs w:val="0"/>
        </w:rPr>
        <w:t xml:space="preserve"> </w:t>
      </w:r>
      <w:r w:rsidRPr="004D2D25">
        <w:rPr>
          <w:rStyle w:val="Heading2Char"/>
          <w:rFonts w:ascii="Garamond" w:hAnsi="Garamond"/>
          <w:b/>
          <w:bCs/>
          <w:i w:val="0"/>
          <w:iCs w:val="0"/>
        </w:rPr>
        <w:t>2024 Month-Ahead System Resource Adequacy Deficiency</w:t>
      </w:r>
    </w:p>
    <w:p w14:paraId="7EEE645B" w14:textId="3B6E778E" w:rsidR="00AC130C" w:rsidRPr="00AC130C" w:rsidRDefault="00AC130C" w:rsidP="00AC130C">
      <w:pPr>
        <w:spacing w:after="0" w:line="360" w:lineRule="auto"/>
        <w:ind w:firstLine="720"/>
        <w:rPr>
          <w:bCs/>
        </w:rPr>
      </w:pPr>
      <w:r w:rsidRPr="00AC130C">
        <w:rPr>
          <w:bCs/>
        </w:rPr>
        <w:t xml:space="preserve">On </w:t>
      </w:r>
      <w:r w:rsidR="00B45E35">
        <w:rPr>
          <w:bCs/>
        </w:rPr>
        <w:t>July</w:t>
      </w:r>
      <w:r w:rsidRPr="00AC130C">
        <w:rPr>
          <w:bCs/>
        </w:rPr>
        <w:t xml:space="preserve"> 2</w:t>
      </w:r>
      <w:r w:rsidR="00B45E35">
        <w:rPr>
          <w:bCs/>
        </w:rPr>
        <w:t>6</w:t>
      </w:r>
      <w:r w:rsidRPr="00AC130C">
        <w:rPr>
          <w:bCs/>
        </w:rPr>
        <w:t xml:space="preserve">, 2024, ED </w:t>
      </w:r>
      <w:r w:rsidR="00937268">
        <w:rPr>
          <w:bCs/>
        </w:rPr>
        <w:t xml:space="preserve">staff </w:t>
      </w:r>
      <w:r w:rsidRPr="00AC130C">
        <w:rPr>
          <w:bCs/>
        </w:rPr>
        <w:t xml:space="preserve">emailed CEA a deficiency notice.  ED stated that CEA was deficient with its </w:t>
      </w:r>
      <w:r w:rsidR="006C6E72">
        <w:rPr>
          <w:bCs/>
        </w:rPr>
        <w:t xml:space="preserve">September </w:t>
      </w:r>
      <w:r w:rsidRPr="00AC130C">
        <w:rPr>
          <w:bCs/>
        </w:rPr>
        <w:t>2024 MA System RA requirements.  CEA has a</w:t>
      </w:r>
      <w:r w:rsidR="006C6E72">
        <w:rPr>
          <w:bCs/>
        </w:rPr>
        <w:t xml:space="preserve"> September </w:t>
      </w:r>
      <w:r w:rsidRPr="00AC130C">
        <w:rPr>
          <w:bCs/>
        </w:rPr>
        <w:t xml:space="preserve">2024 System RA requirement of </w:t>
      </w:r>
      <w:r w:rsidR="00A27D2F" w:rsidRPr="00A27D2F">
        <w:rPr>
          <w:bCs/>
          <w:highlight w:val="black"/>
        </w:rPr>
        <w:t>X</w:t>
      </w:r>
      <w:r w:rsidRPr="00AC130C">
        <w:rPr>
          <w:bCs/>
        </w:rPr>
        <w:t xml:space="preserve"> and is confirmed for </w:t>
      </w:r>
      <w:r w:rsidR="00A27D2F" w:rsidRPr="00A27D2F">
        <w:rPr>
          <w:bCs/>
          <w:highlight w:val="black"/>
        </w:rPr>
        <w:t>X</w:t>
      </w:r>
      <w:r w:rsidRPr="00AC130C">
        <w:rPr>
          <w:bCs/>
        </w:rPr>
        <w:t xml:space="preserve">.  CEA also has a demand response (DR) allocation of </w:t>
      </w:r>
      <w:r w:rsidR="00A27D2F" w:rsidRPr="00A27D2F">
        <w:rPr>
          <w:bCs/>
          <w:highlight w:val="black"/>
        </w:rPr>
        <w:t>X</w:t>
      </w:r>
      <w:r w:rsidRPr="00AC130C">
        <w:rPr>
          <w:bCs/>
        </w:rPr>
        <w:t xml:space="preserve">.  The deficiency notice indicated a need to procure </w:t>
      </w:r>
      <w:r w:rsidR="00351C3B" w:rsidRPr="00351C3B">
        <w:rPr>
          <w:bCs/>
        </w:rPr>
        <w:t xml:space="preserve">153.24 </w:t>
      </w:r>
      <w:r w:rsidRPr="00AC130C">
        <w:rPr>
          <w:bCs/>
        </w:rPr>
        <w:t>MW (</w:t>
      </w:r>
      <w:r w:rsidR="00A27D2F" w:rsidRPr="00A27D2F">
        <w:rPr>
          <w:bCs/>
          <w:highlight w:val="black"/>
        </w:rPr>
        <w:t>X</w:t>
      </w:r>
      <w:r w:rsidRPr="00AC130C">
        <w:rPr>
          <w:bCs/>
        </w:rPr>
        <w:t xml:space="preserve">) of System RA for </w:t>
      </w:r>
      <w:r w:rsidR="00B60777">
        <w:rPr>
          <w:bCs/>
        </w:rPr>
        <w:t>September</w:t>
      </w:r>
      <w:r w:rsidRPr="00AC130C">
        <w:rPr>
          <w:bCs/>
        </w:rPr>
        <w:t xml:space="preserve"> 2024.  ED’s deficiency noticed provided a deadline of </w:t>
      </w:r>
      <w:r w:rsidR="00B60777">
        <w:rPr>
          <w:bCs/>
        </w:rPr>
        <w:t>August</w:t>
      </w:r>
      <w:r w:rsidRPr="00AC130C">
        <w:rPr>
          <w:bCs/>
        </w:rPr>
        <w:t xml:space="preserve"> 2, 2024 for CEA to come into compliance.  </w:t>
      </w:r>
      <w:r w:rsidR="008455C6">
        <w:t xml:space="preserve">The deficiency notice also noted that </w:t>
      </w:r>
      <w:r w:rsidR="00F72862">
        <w:t xml:space="preserve">three </w:t>
      </w:r>
      <w:r w:rsidR="008455C6">
        <w:t>resources in CEA’s September 2024 RA compliance filing had supply plan mismatches.</w:t>
      </w:r>
      <w:r w:rsidR="008455C6">
        <w:rPr>
          <w:rStyle w:val="FootnoteReference"/>
        </w:rPr>
        <w:footnoteReference w:id="12"/>
      </w:r>
      <w:r w:rsidR="008455C6">
        <w:t xml:space="preserve">  Specifically, </w:t>
      </w:r>
      <w:r w:rsidR="00F72862">
        <w:t xml:space="preserve">three </w:t>
      </w:r>
      <w:r w:rsidR="008455C6">
        <w:t xml:space="preserve">resources were confirmed for a different RA amount.  </w:t>
      </w:r>
      <w:r w:rsidR="00F72862">
        <w:t xml:space="preserve">On the same day, ED staff sent CEA a revised deficiency notice, </w:t>
      </w:r>
      <w:r w:rsidR="0080076F">
        <w:t>noting</w:t>
      </w:r>
      <w:r w:rsidR="00F72862">
        <w:t xml:space="preserve"> an </w:t>
      </w:r>
      <w:r w:rsidR="00F72862">
        <w:lastRenderedPageBreak/>
        <w:t>additional resource with a supply plan mismatch.</w:t>
      </w:r>
      <w:r w:rsidR="00F72862">
        <w:rPr>
          <w:rStyle w:val="FootnoteReference"/>
        </w:rPr>
        <w:footnoteReference w:id="13"/>
      </w:r>
      <w:r w:rsidR="00F72862">
        <w:t xml:space="preserve">  </w:t>
      </w:r>
      <w:r w:rsidR="00F0000A" w:rsidRPr="00BB72AA">
        <w:t xml:space="preserve">On August 2, 2024, CEA submitted a revised filing to correct the RA amounts for the four resources and showing </w:t>
      </w:r>
      <w:r w:rsidR="00A27D2F" w:rsidRPr="00A27D2F">
        <w:rPr>
          <w:highlight w:val="black"/>
        </w:rPr>
        <w:t>X</w:t>
      </w:r>
      <w:r w:rsidR="0080076F">
        <w:rPr>
          <w:rStyle w:val="FootnoteReference"/>
        </w:rPr>
        <w:footnoteReference w:id="14"/>
      </w:r>
      <w:r w:rsidR="00F0000A" w:rsidRPr="00BB72AA">
        <w:t xml:space="preserve"> in total System RA procured.</w:t>
      </w:r>
      <w:r w:rsidR="00F0000A" w:rsidRPr="00BB72AA">
        <w:rPr>
          <w:rStyle w:val="FootnoteReference"/>
        </w:rPr>
        <w:footnoteReference w:id="15"/>
      </w:r>
      <w:r w:rsidR="008455C6" w:rsidRPr="00B2579A">
        <w:t xml:space="preserve">  On August </w:t>
      </w:r>
      <w:r w:rsidR="008455C6">
        <w:t xml:space="preserve">3, 2024, ED staff downloaded the CAISO supply plan which showed </w:t>
      </w:r>
      <w:r w:rsidR="00A27D2F" w:rsidRPr="00A27D2F">
        <w:rPr>
          <w:highlight w:val="black"/>
        </w:rPr>
        <w:t>X</w:t>
      </w:r>
      <w:r w:rsidR="008455C6">
        <w:t xml:space="preserve"> in total System RA procured.  Therefore, CEA’s revised September 2024 MA System RA deficiency is 136.24 MW (</w:t>
      </w:r>
      <w:r w:rsidR="00A27D2F" w:rsidRPr="00A27D2F">
        <w:rPr>
          <w:highlight w:val="black"/>
        </w:rPr>
        <w:t>X</w:t>
      </w:r>
      <w:r w:rsidR="008455C6">
        <w:t>).</w:t>
      </w:r>
    </w:p>
    <w:p w14:paraId="302E23DA" w14:textId="6251CA04" w:rsidR="009F3F17" w:rsidRPr="005B1126" w:rsidRDefault="00AC130C" w:rsidP="009F3F17">
      <w:pPr>
        <w:spacing w:after="0" w:line="360" w:lineRule="auto"/>
        <w:ind w:firstLine="720"/>
      </w:pPr>
      <w:r w:rsidRPr="00AC130C">
        <w:rPr>
          <w:bCs/>
        </w:rPr>
        <w:t xml:space="preserve"> </w:t>
      </w:r>
      <w:r w:rsidR="009F3F17">
        <w:t>On October 28, 2024, UEB staff requested an update from CEA regarding its outstanding September 2024 MA System RA deficiency and provided CEA a deadline of November 4, 2024 to provide documents demonstrating it cured its deficiency by the August 2, 2024 deadline provided by ED.  On November 8, 2024, CEA confirmed it was unable to cure</w:t>
      </w:r>
      <w:r w:rsidR="00F72862">
        <w:t xml:space="preserve"> the remainder of</w:t>
      </w:r>
      <w:r w:rsidR="009F3F17">
        <w:t xml:space="preserve"> its </w:t>
      </w:r>
      <w:r w:rsidR="009F3F17" w:rsidRPr="005B1126">
        <w:t>September 2024 MA RA deficiency.</w:t>
      </w:r>
    </w:p>
    <w:p w14:paraId="5301A298" w14:textId="71329593" w:rsidR="00753655" w:rsidRPr="005B1126" w:rsidRDefault="00BF3A0B" w:rsidP="00AC130C">
      <w:pPr>
        <w:spacing w:after="0" w:line="360" w:lineRule="auto"/>
        <w:ind w:firstLine="720"/>
      </w:pPr>
      <w:r w:rsidRPr="005B1126">
        <w:t>On March 15, 2024, CPED issued Citation E-4195-0162 to CEA for failure to meet its 2024 YA System RA obligations.  Citation E-4195-0162 includes a 134.38 MW System RA deficiency for CEA’s September 2024 YA obligation.</w:t>
      </w:r>
      <w:r w:rsidRPr="005B1126">
        <w:rPr>
          <w:rStyle w:val="FootnoteReference"/>
        </w:rPr>
        <w:footnoteReference w:id="16"/>
      </w:r>
      <w:r w:rsidRPr="005B1126">
        <w:t xml:space="preserve">  Accordingly, CEA is being cited for its 134.38 MW of YA System RA deficiency and 1.86 MW (136.24 MW minus 134.38 MW) of incremental System RA deficiency for September 2024.</w:t>
      </w:r>
    </w:p>
    <w:p w14:paraId="795AC084" w14:textId="77777777" w:rsidR="00BF3A0B" w:rsidRPr="004D2D25" w:rsidRDefault="00BF3A0B" w:rsidP="00AC130C">
      <w:pPr>
        <w:spacing w:after="0" w:line="360" w:lineRule="auto"/>
        <w:ind w:firstLine="720"/>
      </w:pPr>
    </w:p>
    <w:p w14:paraId="27E6EB5A" w14:textId="77777777" w:rsidR="00B57F56" w:rsidRPr="004D2D25" w:rsidRDefault="00B57F56" w:rsidP="00B57F56">
      <w:pPr>
        <w:pStyle w:val="ListParagraph"/>
        <w:numPr>
          <w:ilvl w:val="0"/>
          <w:numId w:val="5"/>
        </w:numPr>
        <w:spacing w:line="360" w:lineRule="auto"/>
        <w:rPr>
          <w:rStyle w:val="Heading2Char"/>
          <w:rFonts w:ascii="Garamond" w:hAnsi="Garamond"/>
          <w:b/>
          <w:bCs/>
          <w:i w:val="0"/>
          <w:iCs w:val="0"/>
        </w:rPr>
      </w:pPr>
      <w:r w:rsidRPr="004D2D25">
        <w:rPr>
          <w:rStyle w:val="Heading2Char"/>
          <w:rFonts w:ascii="Garamond" w:hAnsi="Garamond"/>
          <w:b/>
          <w:bCs/>
          <w:i w:val="0"/>
          <w:iCs w:val="0"/>
        </w:rPr>
        <w:t>Points Accrued for Violation of RA Reporting Requirements</w:t>
      </w:r>
    </w:p>
    <w:p w14:paraId="60DFA7BF" w14:textId="46802653" w:rsidR="00B57F56" w:rsidRPr="004D2D25" w:rsidRDefault="00B57F56" w:rsidP="00310332">
      <w:pPr>
        <w:spacing w:after="0" w:line="360" w:lineRule="auto"/>
        <w:ind w:firstLine="720"/>
      </w:pPr>
      <w:r w:rsidRPr="004D2D25">
        <w:t>D.21-06-029, subsequently modified by D.</w:t>
      </w:r>
      <w:r w:rsidR="0067698F">
        <w:t>23-06-029</w:t>
      </w:r>
      <w:r w:rsidRPr="004D2D25">
        <w:t>, adopted</w:t>
      </w:r>
      <w:r w:rsidRPr="004D2D25" w:rsidDel="00BC05FF">
        <w:t xml:space="preserve"> </w:t>
      </w:r>
      <w:r w:rsidRPr="004D2D25">
        <w:t>a tiered penalty structure for System RA deficiencies to add to the current penalty structure.</w:t>
      </w:r>
      <w:r w:rsidR="006A6653">
        <w:rPr>
          <w:rStyle w:val="FootnoteReference"/>
        </w:rPr>
        <w:footnoteReference w:id="17"/>
      </w:r>
      <w:r w:rsidR="006A6653" w:rsidRPr="004D2D25">
        <w:t xml:space="preserve"> </w:t>
      </w:r>
      <w:r w:rsidRPr="004D2D25">
        <w:t xml:space="preserve">Tables </w:t>
      </w:r>
      <w:r w:rsidR="006A6653">
        <w:t>2</w:t>
      </w:r>
      <w:r w:rsidRPr="004D2D25">
        <w:t xml:space="preserve"> and </w:t>
      </w:r>
      <w:r w:rsidR="006A6653">
        <w:t>3</w:t>
      </w:r>
      <w:r w:rsidRPr="004D2D25">
        <w:t xml:space="preserve"> summarize the points and tiered penalty amounts.</w:t>
      </w:r>
    </w:p>
    <w:tbl>
      <w:tblPr>
        <w:tblStyle w:val="TableGrid"/>
        <w:tblW w:w="9445" w:type="dxa"/>
        <w:jc w:val="center"/>
        <w:tblLook w:val="04A0" w:firstRow="1" w:lastRow="0" w:firstColumn="1" w:lastColumn="0" w:noHBand="0" w:noVBand="1"/>
      </w:tblPr>
      <w:tblGrid>
        <w:gridCol w:w="3870"/>
        <w:gridCol w:w="5575"/>
      </w:tblGrid>
      <w:tr w:rsidR="00B57F56" w:rsidRPr="004D2D25" w14:paraId="6A1B1E8E" w14:textId="77777777" w:rsidTr="000D48B6">
        <w:trPr>
          <w:jc w:val="center"/>
        </w:trPr>
        <w:tc>
          <w:tcPr>
            <w:tcW w:w="9445" w:type="dxa"/>
            <w:gridSpan w:val="2"/>
          </w:tcPr>
          <w:p w14:paraId="7F33323C" w14:textId="529ACFC5" w:rsidR="00B57F56" w:rsidRPr="004D2D25" w:rsidRDefault="00B57F56" w:rsidP="00CB390E">
            <w:pPr>
              <w:keepNext/>
              <w:keepLines/>
              <w:spacing w:after="0" w:line="360" w:lineRule="auto"/>
              <w:jc w:val="center"/>
              <w:rPr>
                <w:b/>
                <w:bCs/>
              </w:rPr>
            </w:pPr>
            <w:r w:rsidRPr="004D2D25">
              <w:rPr>
                <w:b/>
                <w:bCs/>
              </w:rPr>
              <w:t xml:space="preserve">Table </w:t>
            </w:r>
            <w:r w:rsidR="00E04A10">
              <w:rPr>
                <w:b/>
                <w:bCs/>
              </w:rPr>
              <w:t>2</w:t>
            </w:r>
            <w:r w:rsidRPr="004D2D25">
              <w:rPr>
                <w:b/>
                <w:bCs/>
              </w:rPr>
              <w:t>:  Points for System RA Deficiency</w:t>
            </w:r>
          </w:p>
        </w:tc>
      </w:tr>
      <w:tr w:rsidR="00B57F56" w:rsidRPr="004D2D25" w14:paraId="66ABF3F1" w14:textId="77777777" w:rsidTr="000D48B6">
        <w:trPr>
          <w:jc w:val="center"/>
        </w:trPr>
        <w:tc>
          <w:tcPr>
            <w:tcW w:w="3870" w:type="dxa"/>
          </w:tcPr>
          <w:p w14:paraId="2D702A0B" w14:textId="77777777" w:rsidR="00B57F56" w:rsidRPr="004D2D25" w:rsidRDefault="00B57F56" w:rsidP="00CB390E">
            <w:pPr>
              <w:keepNext/>
              <w:keepLines/>
              <w:spacing w:after="0" w:line="240" w:lineRule="auto"/>
              <w:jc w:val="center"/>
              <w:rPr>
                <w:b/>
                <w:bCs/>
              </w:rPr>
            </w:pPr>
            <w:r w:rsidRPr="004D2D25">
              <w:rPr>
                <w:b/>
                <w:bCs/>
              </w:rPr>
              <w:t>Months</w:t>
            </w:r>
          </w:p>
        </w:tc>
        <w:tc>
          <w:tcPr>
            <w:tcW w:w="5575" w:type="dxa"/>
          </w:tcPr>
          <w:p w14:paraId="4309B685" w14:textId="77777777" w:rsidR="00B57F56" w:rsidRPr="004D2D25" w:rsidRDefault="00B57F56" w:rsidP="00CB390E">
            <w:pPr>
              <w:keepNext/>
              <w:keepLines/>
              <w:spacing w:after="0" w:line="240" w:lineRule="auto"/>
              <w:jc w:val="center"/>
              <w:rPr>
                <w:b/>
                <w:bCs/>
              </w:rPr>
            </w:pPr>
            <w:r w:rsidRPr="004D2D25">
              <w:rPr>
                <w:b/>
                <w:bCs/>
              </w:rPr>
              <w:t>Points for Each Instance of System RA Deficiency</w:t>
            </w:r>
          </w:p>
        </w:tc>
      </w:tr>
      <w:tr w:rsidR="00B57F56" w:rsidRPr="004D2D25" w14:paraId="15299FC5" w14:textId="77777777" w:rsidTr="000D48B6">
        <w:trPr>
          <w:jc w:val="center"/>
        </w:trPr>
        <w:tc>
          <w:tcPr>
            <w:tcW w:w="3870" w:type="dxa"/>
          </w:tcPr>
          <w:p w14:paraId="6DBA4668" w14:textId="77777777" w:rsidR="00B57F56" w:rsidRPr="004D2D25" w:rsidRDefault="00B57F56" w:rsidP="00CB390E">
            <w:pPr>
              <w:keepNext/>
              <w:keepLines/>
              <w:spacing w:after="0" w:line="240" w:lineRule="auto"/>
            </w:pPr>
            <w:r w:rsidRPr="004D2D25">
              <w:t>Non-Summer (November – April)</w:t>
            </w:r>
          </w:p>
        </w:tc>
        <w:tc>
          <w:tcPr>
            <w:tcW w:w="5575" w:type="dxa"/>
          </w:tcPr>
          <w:p w14:paraId="1E2BE62A" w14:textId="77777777" w:rsidR="00B57F56" w:rsidRPr="004D2D25" w:rsidRDefault="00B57F56" w:rsidP="00CB390E">
            <w:pPr>
              <w:keepNext/>
              <w:keepLines/>
              <w:spacing w:after="0" w:line="240" w:lineRule="auto"/>
              <w:jc w:val="center"/>
            </w:pPr>
            <w:r w:rsidRPr="004D2D25">
              <w:t>1</w:t>
            </w:r>
          </w:p>
        </w:tc>
      </w:tr>
      <w:tr w:rsidR="00B57F56" w:rsidRPr="004D2D25" w14:paraId="4A9B6ED9" w14:textId="77777777" w:rsidTr="000D48B6">
        <w:trPr>
          <w:jc w:val="center"/>
        </w:trPr>
        <w:tc>
          <w:tcPr>
            <w:tcW w:w="3870" w:type="dxa"/>
          </w:tcPr>
          <w:p w14:paraId="78E2F91E" w14:textId="77777777" w:rsidR="00B57F56" w:rsidRPr="004D2D25" w:rsidRDefault="00B57F56" w:rsidP="00CB390E">
            <w:pPr>
              <w:keepNext/>
              <w:keepLines/>
              <w:spacing w:after="0" w:line="240" w:lineRule="auto"/>
            </w:pPr>
            <w:r w:rsidRPr="004D2D25">
              <w:t>Summer (May – October)</w:t>
            </w:r>
          </w:p>
        </w:tc>
        <w:tc>
          <w:tcPr>
            <w:tcW w:w="5575" w:type="dxa"/>
          </w:tcPr>
          <w:p w14:paraId="367BE8B6" w14:textId="77777777" w:rsidR="00B57F56" w:rsidRPr="004D2D25" w:rsidRDefault="00B57F56" w:rsidP="00CB390E">
            <w:pPr>
              <w:keepNext/>
              <w:keepLines/>
              <w:spacing w:after="0" w:line="240" w:lineRule="auto"/>
              <w:jc w:val="center"/>
            </w:pPr>
            <w:r w:rsidRPr="004D2D25">
              <w:t>2</w:t>
            </w:r>
          </w:p>
        </w:tc>
      </w:tr>
    </w:tbl>
    <w:p w14:paraId="47F867C7" w14:textId="77777777" w:rsidR="00B57F56" w:rsidRPr="004D2D25" w:rsidRDefault="00B57F56" w:rsidP="00310332">
      <w:pPr>
        <w:spacing w:after="0" w:line="360" w:lineRule="auto"/>
        <w:rPr>
          <w:rFonts w:eastAsiaTheme="majorEastAsia" w:cstheme="majorBidi"/>
          <w:color w:val="000000" w:themeColor="text1"/>
        </w:rPr>
      </w:pP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20"/>
        <w:gridCol w:w="5139"/>
      </w:tblGrid>
      <w:tr w:rsidR="00B57F56" w:rsidRPr="004D2D25" w14:paraId="0EC97E0B" w14:textId="77777777" w:rsidTr="000D48B6">
        <w:trPr>
          <w:trHeight w:val="638"/>
          <w:jc w:val="center"/>
        </w:trPr>
        <w:tc>
          <w:tcPr>
            <w:tcW w:w="9539" w:type="dxa"/>
            <w:gridSpan w:val="3"/>
            <w:shd w:val="clear" w:color="auto" w:fill="auto"/>
            <w:vAlign w:val="center"/>
          </w:tcPr>
          <w:p w14:paraId="1FB21B2E" w14:textId="5692259C" w:rsidR="00B57F56" w:rsidRPr="004D2D25" w:rsidRDefault="00B57F56" w:rsidP="00CB390E">
            <w:pPr>
              <w:spacing w:after="0" w:line="240" w:lineRule="auto"/>
              <w:jc w:val="center"/>
              <w:rPr>
                <w:rFonts w:eastAsia="Times New Roman"/>
                <w:b/>
                <w:bCs/>
              </w:rPr>
            </w:pPr>
            <w:r w:rsidRPr="004D2D25">
              <w:rPr>
                <w:rFonts w:eastAsia="Times New Roman"/>
                <w:b/>
                <w:bCs/>
              </w:rPr>
              <w:t>Table</w:t>
            </w:r>
            <w:r w:rsidR="006A6653">
              <w:rPr>
                <w:rFonts w:eastAsia="Times New Roman"/>
                <w:b/>
                <w:bCs/>
              </w:rPr>
              <w:t xml:space="preserve"> 3</w:t>
            </w:r>
            <w:r w:rsidRPr="004D2D25">
              <w:rPr>
                <w:rFonts w:eastAsia="Times New Roman"/>
                <w:b/>
                <w:bCs/>
              </w:rPr>
              <w:t>:  Tiered System RA Penalty Price</w:t>
            </w:r>
          </w:p>
        </w:tc>
      </w:tr>
      <w:tr w:rsidR="00B57F56" w:rsidRPr="004D2D25" w14:paraId="1EE67482" w14:textId="77777777" w:rsidTr="000D48B6">
        <w:trPr>
          <w:trHeight w:val="638"/>
          <w:jc w:val="center"/>
        </w:trPr>
        <w:tc>
          <w:tcPr>
            <w:tcW w:w="1880" w:type="dxa"/>
            <w:shd w:val="clear" w:color="auto" w:fill="auto"/>
            <w:vAlign w:val="center"/>
            <w:hideMark/>
          </w:tcPr>
          <w:p w14:paraId="62F526AA"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spacing w:val="-4"/>
              </w:rPr>
              <w:t>Tier</w:t>
            </w:r>
          </w:p>
        </w:tc>
        <w:tc>
          <w:tcPr>
            <w:tcW w:w="2520" w:type="dxa"/>
            <w:shd w:val="clear" w:color="auto" w:fill="auto"/>
            <w:vAlign w:val="center"/>
            <w:hideMark/>
          </w:tcPr>
          <w:p w14:paraId="71D92A36"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Accrued Points</w:t>
            </w:r>
          </w:p>
        </w:tc>
        <w:tc>
          <w:tcPr>
            <w:tcW w:w="5139" w:type="dxa"/>
            <w:shd w:val="clear" w:color="auto" w:fill="auto"/>
            <w:vAlign w:val="center"/>
            <w:hideMark/>
          </w:tcPr>
          <w:p w14:paraId="33354D62" w14:textId="77777777" w:rsidR="00B57F56" w:rsidRPr="004D2D25" w:rsidRDefault="00B57F56" w:rsidP="00CB390E">
            <w:pPr>
              <w:spacing w:after="0" w:line="240" w:lineRule="auto"/>
              <w:jc w:val="center"/>
              <w:rPr>
                <w:rFonts w:eastAsia="Times New Roman"/>
                <w:b/>
                <w:bCs/>
                <w:color w:val="000000"/>
              </w:rPr>
            </w:pPr>
            <w:r w:rsidRPr="004D2D25">
              <w:rPr>
                <w:rFonts w:eastAsia="Times New Roman"/>
                <w:b/>
                <w:bCs/>
              </w:rPr>
              <w:t>System RA Penalty Price</w:t>
            </w:r>
          </w:p>
        </w:tc>
      </w:tr>
      <w:tr w:rsidR="00B57F56" w:rsidRPr="004D2D25" w14:paraId="66C3C951" w14:textId="77777777" w:rsidTr="000D48B6">
        <w:trPr>
          <w:trHeight w:val="60"/>
          <w:jc w:val="center"/>
        </w:trPr>
        <w:tc>
          <w:tcPr>
            <w:tcW w:w="1880" w:type="dxa"/>
            <w:shd w:val="clear" w:color="auto" w:fill="auto"/>
            <w:vAlign w:val="center"/>
            <w:hideMark/>
          </w:tcPr>
          <w:p w14:paraId="0A1052C8"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1</w:t>
            </w:r>
          </w:p>
        </w:tc>
        <w:tc>
          <w:tcPr>
            <w:tcW w:w="2520" w:type="dxa"/>
            <w:shd w:val="clear" w:color="auto" w:fill="auto"/>
            <w:vAlign w:val="center"/>
            <w:hideMark/>
          </w:tcPr>
          <w:p w14:paraId="2F4474EF"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0-5</w:t>
            </w:r>
          </w:p>
        </w:tc>
        <w:tc>
          <w:tcPr>
            <w:tcW w:w="5139" w:type="dxa"/>
            <w:shd w:val="clear" w:color="auto" w:fill="auto"/>
            <w:vAlign w:val="center"/>
            <w:hideMark/>
          </w:tcPr>
          <w:p w14:paraId="7046CA17" w14:textId="21EE6B3D" w:rsidR="00B57F56" w:rsidRPr="004D2D25" w:rsidRDefault="00B57F56" w:rsidP="00CB390E">
            <w:pPr>
              <w:spacing w:after="0" w:line="240" w:lineRule="auto"/>
              <w:jc w:val="center"/>
              <w:rPr>
                <w:rFonts w:eastAsia="Times New Roman"/>
                <w:color w:val="000000"/>
              </w:rPr>
            </w:pPr>
            <w:r w:rsidRPr="004D2D25">
              <w:rPr>
                <w:rFonts w:eastAsia="Times New Roman"/>
                <w:color w:val="000000"/>
              </w:rPr>
              <w:t xml:space="preserve">Applicable </w:t>
            </w:r>
            <w:r w:rsidR="00937268">
              <w:rPr>
                <w:rFonts w:eastAsia="Times New Roman"/>
                <w:color w:val="000000"/>
              </w:rPr>
              <w:t>S</w:t>
            </w:r>
            <w:r w:rsidRPr="004D2D25">
              <w:rPr>
                <w:rFonts w:eastAsia="Times New Roman"/>
                <w:color w:val="000000"/>
              </w:rPr>
              <w:t>ystem RA penalty price</w:t>
            </w:r>
          </w:p>
        </w:tc>
      </w:tr>
      <w:tr w:rsidR="00B57F56" w:rsidRPr="004D2D25" w14:paraId="33288CEF" w14:textId="77777777" w:rsidTr="000D48B6">
        <w:trPr>
          <w:trHeight w:val="160"/>
          <w:jc w:val="center"/>
        </w:trPr>
        <w:tc>
          <w:tcPr>
            <w:tcW w:w="1880" w:type="dxa"/>
            <w:shd w:val="clear" w:color="auto" w:fill="auto"/>
            <w:vAlign w:val="center"/>
            <w:hideMark/>
          </w:tcPr>
          <w:p w14:paraId="000F1719"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2</w:t>
            </w:r>
          </w:p>
        </w:tc>
        <w:tc>
          <w:tcPr>
            <w:tcW w:w="2520" w:type="dxa"/>
            <w:shd w:val="clear" w:color="auto" w:fill="auto"/>
            <w:vAlign w:val="center"/>
            <w:hideMark/>
          </w:tcPr>
          <w:p w14:paraId="5DF5D86C"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t>6-10</w:t>
            </w:r>
          </w:p>
        </w:tc>
        <w:tc>
          <w:tcPr>
            <w:tcW w:w="5139" w:type="dxa"/>
            <w:shd w:val="clear" w:color="auto" w:fill="auto"/>
            <w:vAlign w:val="center"/>
            <w:hideMark/>
          </w:tcPr>
          <w:p w14:paraId="3B7C85DF" w14:textId="2C801CE1" w:rsidR="00B57F56" w:rsidRPr="004D2D25" w:rsidRDefault="00B57F56" w:rsidP="00CB390E">
            <w:pPr>
              <w:spacing w:after="0" w:line="240" w:lineRule="auto"/>
              <w:jc w:val="center"/>
              <w:rPr>
                <w:rFonts w:eastAsia="Times New Roman"/>
                <w:color w:val="000000"/>
              </w:rPr>
            </w:pPr>
            <w:r w:rsidRPr="004D2D25">
              <w:rPr>
                <w:rFonts w:eastAsia="Times New Roman"/>
                <w:color w:val="000000"/>
              </w:rPr>
              <w:t xml:space="preserve">2x the applicable </w:t>
            </w:r>
            <w:r w:rsidR="00937268">
              <w:rPr>
                <w:rFonts w:eastAsia="Times New Roman"/>
                <w:color w:val="000000"/>
              </w:rPr>
              <w:t>S</w:t>
            </w:r>
            <w:r w:rsidRPr="004D2D25">
              <w:rPr>
                <w:rFonts w:eastAsia="Times New Roman"/>
                <w:color w:val="000000"/>
              </w:rPr>
              <w:t>ystem RA penalty price</w:t>
            </w:r>
          </w:p>
        </w:tc>
      </w:tr>
      <w:tr w:rsidR="00B57F56" w:rsidRPr="004D2D25" w14:paraId="3C3D3EC4" w14:textId="77777777" w:rsidTr="000D48B6">
        <w:trPr>
          <w:trHeight w:val="60"/>
          <w:jc w:val="center"/>
        </w:trPr>
        <w:tc>
          <w:tcPr>
            <w:tcW w:w="1880" w:type="dxa"/>
            <w:shd w:val="clear" w:color="auto" w:fill="auto"/>
            <w:vAlign w:val="center"/>
            <w:hideMark/>
          </w:tcPr>
          <w:p w14:paraId="35B38D42"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rPr>
              <w:lastRenderedPageBreak/>
              <w:t>3</w:t>
            </w:r>
          </w:p>
        </w:tc>
        <w:tc>
          <w:tcPr>
            <w:tcW w:w="2520" w:type="dxa"/>
            <w:shd w:val="clear" w:color="auto" w:fill="auto"/>
            <w:vAlign w:val="center"/>
            <w:hideMark/>
          </w:tcPr>
          <w:p w14:paraId="443EEE0D" w14:textId="77777777" w:rsidR="00B57F56" w:rsidRPr="004D2D25" w:rsidRDefault="00B57F56" w:rsidP="00CB390E">
            <w:pPr>
              <w:spacing w:after="0" w:line="240" w:lineRule="auto"/>
              <w:jc w:val="center"/>
              <w:rPr>
                <w:rFonts w:eastAsia="Times New Roman"/>
                <w:color w:val="000000"/>
              </w:rPr>
            </w:pPr>
            <w:r w:rsidRPr="004D2D25">
              <w:rPr>
                <w:rFonts w:eastAsia="Times New Roman"/>
                <w:color w:val="000000"/>
                <w:spacing w:val="-5"/>
              </w:rPr>
              <w:t>11+</w:t>
            </w:r>
          </w:p>
        </w:tc>
        <w:tc>
          <w:tcPr>
            <w:tcW w:w="5139" w:type="dxa"/>
            <w:shd w:val="clear" w:color="auto" w:fill="auto"/>
            <w:vAlign w:val="center"/>
            <w:hideMark/>
          </w:tcPr>
          <w:p w14:paraId="3D3F30BB" w14:textId="62A968DF" w:rsidR="00B57F56" w:rsidRPr="004D2D25" w:rsidRDefault="00B57F56" w:rsidP="00CB390E">
            <w:pPr>
              <w:spacing w:after="0" w:line="240" w:lineRule="auto"/>
              <w:jc w:val="center"/>
              <w:rPr>
                <w:rFonts w:eastAsia="Times New Roman"/>
                <w:color w:val="000000"/>
              </w:rPr>
            </w:pPr>
            <w:r w:rsidRPr="004D2D25">
              <w:rPr>
                <w:rFonts w:eastAsia="Times New Roman"/>
                <w:color w:val="000000"/>
              </w:rPr>
              <w:t xml:space="preserve">3x the applicable </w:t>
            </w:r>
            <w:r w:rsidR="00937268">
              <w:rPr>
                <w:rFonts w:eastAsia="Times New Roman"/>
                <w:color w:val="000000"/>
              </w:rPr>
              <w:t>S</w:t>
            </w:r>
            <w:r w:rsidRPr="004D2D25">
              <w:rPr>
                <w:rFonts w:eastAsia="Times New Roman"/>
                <w:color w:val="000000"/>
              </w:rPr>
              <w:t>ystem RA penalty price</w:t>
            </w:r>
          </w:p>
        </w:tc>
      </w:tr>
    </w:tbl>
    <w:p w14:paraId="1F25B217" w14:textId="77777777" w:rsidR="00310332" w:rsidRPr="004D2D25" w:rsidRDefault="00310332" w:rsidP="00310332">
      <w:pPr>
        <w:spacing w:after="0" w:line="360" w:lineRule="auto"/>
        <w:ind w:firstLine="720"/>
      </w:pPr>
    </w:p>
    <w:p w14:paraId="76356C28" w14:textId="240FF0E0" w:rsidR="00310332" w:rsidRPr="004D2D25" w:rsidRDefault="00B57F56" w:rsidP="00310332">
      <w:pPr>
        <w:spacing w:after="0" w:line="360" w:lineRule="auto"/>
        <w:ind w:firstLine="720"/>
      </w:pPr>
      <w:r w:rsidRPr="004D2D25">
        <w:t xml:space="preserve">D.21-06-029 specifies that if a LSE deficiency is less than 1% of the LSE’s System RA requirement, no points will be accrued.  Points shall only be accrued for </w:t>
      </w:r>
      <w:r w:rsidR="00937268">
        <w:t>MA</w:t>
      </w:r>
      <w:r w:rsidRPr="004D2D25">
        <w:t xml:space="preserve"> deficiencies, not </w:t>
      </w:r>
      <w:r w:rsidR="00937268">
        <w:t>YA</w:t>
      </w:r>
      <w:r w:rsidRPr="004D2D25">
        <w:t xml:space="preserve"> deficiencies.  Points shall expire 24 months after the violation.  Accrued points within an RA compliance year shall be carried over to the next RA compliance year.  The provider of last resort shall not accrue points for a deficiency resulting from unexpected load returns for which a </w:t>
      </w:r>
      <w:r w:rsidR="00937268">
        <w:t>S</w:t>
      </w:r>
      <w:r w:rsidRPr="004D2D25">
        <w:t>ystem RA waiver is granted.  This structure is effective for the 2024 RA compliance year.</w:t>
      </w:r>
    </w:p>
    <w:p w14:paraId="00277829" w14:textId="4482BD95" w:rsidR="00B57F56" w:rsidRPr="004D2D25" w:rsidRDefault="00104124" w:rsidP="00310332">
      <w:pPr>
        <w:spacing w:after="0" w:line="360" w:lineRule="auto"/>
        <w:ind w:firstLine="720"/>
      </w:pPr>
      <w:r w:rsidRPr="00104124">
        <w:t xml:space="preserve">Accordingly, CEA accrued two points for its </w:t>
      </w:r>
      <w:r w:rsidR="007066E4">
        <w:t>136.24</w:t>
      </w:r>
      <w:r w:rsidRPr="00104124">
        <w:t xml:space="preserve"> MW of System RA deficiency in </w:t>
      </w:r>
      <w:r w:rsidR="007066E4">
        <w:t>September</w:t>
      </w:r>
      <w:r w:rsidRPr="00104124">
        <w:t xml:space="preserve"> 2024 cured after five business days from the date of notification by ED or not remedied at all.  The points related to the </w:t>
      </w:r>
      <w:r w:rsidR="002978F9">
        <w:t>September</w:t>
      </w:r>
      <w:r w:rsidRPr="00104124">
        <w:t xml:space="preserve"> 2024 deficiency will expire in 24 months after the violation.  </w:t>
      </w:r>
      <w:r w:rsidR="00277D76">
        <w:t xml:space="preserve">CEA’s total points accrued through the </w:t>
      </w:r>
      <w:r w:rsidR="002978F9">
        <w:t>September</w:t>
      </w:r>
      <w:r w:rsidR="00277D76">
        <w:t xml:space="preserve"> 2024 compliance period has reached </w:t>
      </w:r>
      <w:r w:rsidR="002978F9">
        <w:t>eight</w:t>
      </w:r>
      <w:r w:rsidR="00277D76">
        <w:t xml:space="preserve">.   Therefore, CEA is now in Tier 2 of the Tiered System RA Penalty Structure adopted in D.21-06-029 and 2x the applicable </w:t>
      </w:r>
      <w:r w:rsidR="00937268">
        <w:t>S</w:t>
      </w:r>
      <w:r w:rsidR="00277D76">
        <w:t xml:space="preserve">ystem RA penalty price will apply to all System RA deficiencies for the </w:t>
      </w:r>
      <w:r w:rsidR="002978F9">
        <w:t xml:space="preserve">September </w:t>
      </w:r>
      <w:r w:rsidR="00277D76">
        <w:t>2024 compliance period.</w:t>
      </w:r>
      <w:r w:rsidR="00277D76">
        <w:rPr>
          <w:rStyle w:val="FootnoteReference"/>
        </w:rPr>
        <w:footnoteReference w:id="18"/>
      </w:r>
      <w:r w:rsidR="00277D76">
        <w:t xml:space="preserve">  </w:t>
      </w:r>
      <w:r w:rsidRPr="00104124">
        <w:t>Table 4 provides a summary of CEA’s total points accrued to date.</w:t>
      </w:r>
    </w:p>
    <w:tbl>
      <w:tblPr>
        <w:tblW w:w="9445" w:type="dxa"/>
        <w:tblLook w:val="04A0" w:firstRow="1" w:lastRow="0" w:firstColumn="1" w:lastColumn="0" w:noHBand="0" w:noVBand="1"/>
      </w:tblPr>
      <w:tblGrid>
        <w:gridCol w:w="2335"/>
        <w:gridCol w:w="2430"/>
        <w:gridCol w:w="4680"/>
      </w:tblGrid>
      <w:tr w:rsidR="00B57F56" w:rsidRPr="004D2D25" w14:paraId="049C2097" w14:textId="77777777" w:rsidTr="000D48B6">
        <w:trPr>
          <w:trHeight w:val="377"/>
        </w:trPr>
        <w:tc>
          <w:tcPr>
            <w:tcW w:w="944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05395C71" w14:textId="50321B0E"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 xml:space="preserve">Table </w:t>
            </w:r>
            <w:r w:rsidR="006A6653">
              <w:rPr>
                <w:rFonts w:eastAsia="Times New Roman" w:cs="Times New Roman"/>
                <w:b/>
                <w:bCs/>
                <w:color w:val="000000"/>
              </w:rPr>
              <w:t>4</w:t>
            </w:r>
            <w:r w:rsidRPr="004D2D25">
              <w:rPr>
                <w:rFonts w:eastAsia="Times New Roman" w:cs="Times New Roman"/>
                <w:b/>
                <w:bCs/>
                <w:color w:val="000000"/>
              </w:rPr>
              <w:t xml:space="preserve">: Summary of </w:t>
            </w:r>
            <w:r w:rsidR="005E55CE">
              <w:rPr>
                <w:rFonts w:eastAsia="Times New Roman" w:cs="Times New Roman"/>
                <w:b/>
                <w:bCs/>
                <w:color w:val="000000"/>
              </w:rPr>
              <w:t>CEA</w:t>
            </w:r>
            <w:r w:rsidRPr="004D2D25">
              <w:rPr>
                <w:rFonts w:eastAsia="Times New Roman" w:cs="Times New Roman"/>
                <w:b/>
                <w:bCs/>
                <w:color w:val="000000"/>
              </w:rPr>
              <w:t>’s Total Points Accrued</w:t>
            </w:r>
          </w:p>
        </w:tc>
      </w:tr>
      <w:tr w:rsidR="00B57F56" w:rsidRPr="004D2D25" w14:paraId="6801ED97" w14:textId="77777777" w:rsidTr="000D48B6">
        <w:trPr>
          <w:trHeight w:val="70"/>
        </w:trPr>
        <w:tc>
          <w:tcPr>
            <w:tcW w:w="2335" w:type="dxa"/>
            <w:tcBorders>
              <w:top w:val="nil"/>
              <w:left w:val="single" w:sz="4" w:space="0" w:color="auto"/>
              <w:bottom w:val="single" w:sz="4" w:space="0" w:color="auto"/>
              <w:right w:val="single" w:sz="4" w:space="0" w:color="auto"/>
            </w:tcBorders>
            <w:shd w:val="clear" w:color="auto" w:fill="auto"/>
            <w:noWrap/>
            <w:vAlign w:val="bottom"/>
          </w:tcPr>
          <w:p w14:paraId="749AF1EB"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Compliance Month</w:t>
            </w:r>
          </w:p>
        </w:tc>
        <w:tc>
          <w:tcPr>
            <w:tcW w:w="2430" w:type="dxa"/>
            <w:tcBorders>
              <w:top w:val="nil"/>
              <w:left w:val="nil"/>
              <w:bottom w:val="single" w:sz="4" w:space="0" w:color="auto"/>
              <w:right w:val="single" w:sz="4" w:space="0" w:color="auto"/>
            </w:tcBorders>
            <w:shd w:val="clear" w:color="auto" w:fill="auto"/>
            <w:noWrap/>
            <w:vAlign w:val="bottom"/>
          </w:tcPr>
          <w:p w14:paraId="773FACB6"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Points Accrued</w:t>
            </w:r>
          </w:p>
        </w:tc>
        <w:tc>
          <w:tcPr>
            <w:tcW w:w="4680" w:type="dxa"/>
            <w:tcBorders>
              <w:top w:val="nil"/>
              <w:left w:val="nil"/>
              <w:bottom w:val="single" w:sz="4" w:space="0" w:color="auto"/>
              <w:right w:val="single" w:sz="4" w:space="0" w:color="auto"/>
            </w:tcBorders>
            <w:shd w:val="clear" w:color="auto" w:fill="auto"/>
            <w:noWrap/>
            <w:vAlign w:val="bottom"/>
          </w:tcPr>
          <w:p w14:paraId="60D1B462" w14:textId="77777777" w:rsidR="00B57F56" w:rsidRPr="004D2D25" w:rsidRDefault="00B57F56" w:rsidP="00B57F56">
            <w:pPr>
              <w:spacing w:after="0" w:line="240" w:lineRule="auto"/>
              <w:jc w:val="center"/>
              <w:rPr>
                <w:rFonts w:eastAsia="Times New Roman" w:cs="Times New Roman"/>
                <w:b/>
                <w:bCs/>
                <w:color w:val="000000"/>
              </w:rPr>
            </w:pPr>
            <w:r w:rsidRPr="004D2D25">
              <w:rPr>
                <w:rFonts w:eastAsia="Times New Roman" w:cs="Times New Roman"/>
                <w:b/>
                <w:bCs/>
                <w:color w:val="000000"/>
              </w:rPr>
              <w:t>Expiration (Compliance Month)</w:t>
            </w:r>
          </w:p>
        </w:tc>
      </w:tr>
      <w:tr w:rsidR="00F70CD7" w:rsidRPr="004D2D25" w14:paraId="116AC115" w14:textId="77777777" w:rsidTr="00161C1A">
        <w:trPr>
          <w:trHeight w:val="70"/>
        </w:trPr>
        <w:tc>
          <w:tcPr>
            <w:tcW w:w="2335" w:type="dxa"/>
            <w:tcBorders>
              <w:top w:val="nil"/>
              <w:left w:val="single" w:sz="4" w:space="0" w:color="auto"/>
              <w:bottom w:val="single" w:sz="4" w:space="0" w:color="auto"/>
              <w:right w:val="single" w:sz="4" w:space="0" w:color="auto"/>
            </w:tcBorders>
            <w:shd w:val="clear" w:color="auto" w:fill="auto"/>
            <w:noWrap/>
          </w:tcPr>
          <w:p w14:paraId="52A02453" w14:textId="3F03222C" w:rsidR="00F70CD7" w:rsidRPr="004D2D25" w:rsidRDefault="00F70CD7" w:rsidP="00F70CD7">
            <w:pPr>
              <w:spacing w:after="0" w:line="240" w:lineRule="auto"/>
              <w:jc w:val="center"/>
              <w:rPr>
                <w:rFonts w:eastAsia="Times New Roman" w:cs="Times New Roman"/>
                <w:b/>
                <w:bCs/>
                <w:color w:val="000000"/>
              </w:rPr>
            </w:pPr>
            <w:r w:rsidRPr="00662A9D">
              <w:t>August 2023</w:t>
            </w:r>
          </w:p>
        </w:tc>
        <w:tc>
          <w:tcPr>
            <w:tcW w:w="2430" w:type="dxa"/>
            <w:tcBorders>
              <w:top w:val="nil"/>
              <w:left w:val="nil"/>
              <w:bottom w:val="single" w:sz="4" w:space="0" w:color="auto"/>
              <w:right w:val="single" w:sz="4" w:space="0" w:color="auto"/>
            </w:tcBorders>
            <w:shd w:val="clear" w:color="auto" w:fill="auto"/>
            <w:noWrap/>
          </w:tcPr>
          <w:p w14:paraId="649E548C" w14:textId="7642CA2C" w:rsidR="00F70CD7" w:rsidRPr="004D2D25" w:rsidRDefault="00F70CD7" w:rsidP="00F70CD7">
            <w:pPr>
              <w:spacing w:after="0" w:line="240" w:lineRule="auto"/>
              <w:jc w:val="center"/>
              <w:rPr>
                <w:rFonts w:eastAsia="Times New Roman" w:cs="Times New Roman"/>
                <w:b/>
                <w:bCs/>
                <w:color w:val="000000"/>
              </w:rPr>
            </w:pPr>
            <w:r w:rsidRPr="00662A9D">
              <w:t>2</w:t>
            </w:r>
          </w:p>
        </w:tc>
        <w:tc>
          <w:tcPr>
            <w:tcW w:w="4680" w:type="dxa"/>
            <w:tcBorders>
              <w:top w:val="nil"/>
              <w:left w:val="nil"/>
              <w:bottom w:val="single" w:sz="4" w:space="0" w:color="auto"/>
              <w:right w:val="single" w:sz="4" w:space="0" w:color="auto"/>
            </w:tcBorders>
            <w:shd w:val="clear" w:color="auto" w:fill="auto"/>
            <w:noWrap/>
          </w:tcPr>
          <w:p w14:paraId="291E7B3E" w14:textId="7B52F22B" w:rsidR="00F70CD7" w:rsidRPr="004D2D25" w:rsidRDefault="00F70CD7" w:rsidP="00F70CD7">
            <w:pPr>
              <w:spacing w:after="0" w:line="240" w:lineRule="auto"/>
              <w:jc w:val="center"/>
              <w:rPr>
                <w:rFonts w:eastAsia="Times New Roman" w:cs="Times New Roman"/>
                <w:b/>
                <w:bCs/>
                <w:color w:val="000000"/>
              </w:rPr>
            </w:pPr>
            <w:r w:rsidRPr="00662A9D">
              <w:t>August 2025</w:t>
            </w:r>
          </w:p>
        </w:tc>
      </w:tr>
      <w:tr w:rsidR="00F70CD7" w:rsidRPr="004D2D25" w14:paraId="477C65CC" w14:textId="77777777" w:rsidTr="00161C1A">
        <w:trPr>
          <w:trHeight w:val="70"/>
        </w:trPr>
        <w:tc>
          <w:tcPr>
            <w:tcW w:w="2335" w:type="dxa"/>
            <w:tcBorders>
              <w:top w:val="nil"/>
              <w:left w:val="single" w:sz="4" w:space="0" w:color="auto"/>
              <w:bottom w:val="single" w:sz="4" w:space="0" w:color="auto"/>
              <w:right w:val="single" w:sz="4" w:space="0" w:color="auto"/>
            </w:tcBorders>
            <w:shd w:val="clear" w:color="auto" w:fill="auto"/>
            <w:noWrap/>
          </w:tcPr>
          <w:p w14:paraId="54680296" w14:textId="382142F3" w:rsidR="00F70CD7" w:rsidRPr="004D2D25" w:rsidRDefault="00F70CD7" w:rsidP="00F70CD7">
            <w:pPr>
              <w:spacing w:after="0" w:line="240" w:lineRule="auto"/>
              <w:jc w:val="center"/>
              <w:rPr>
                <w:rFonts w:eastAsia="Times New Roman" w:cs="Times New Roman"/>
                <w:b/>
                <w:bCs/>
                <w:color w:val="000000"/>
              </w:rPr>
            </w:pPr>
            <w:r w:rsidRPr="00662A9D">
              <w:t>September 2023</w:t>
            </w:r>
          </w:p>
        </w:tc>
        <w:tc>
          <w:tcPr>
            <w:tcW w:w="2430" w:type="dxa"/>
            <w:tcBorders>
              <w:top w:val="nil"/>
              <w:left w:val="nil"/>
              <w:bottom w:val="single" w:sz="4" w:space="0" w:color="auto"/>
              <w:right w:val="single" w:sz="4" w:space="0" w:color="auto"/>
            </w:tcBorders>
            <w:shd w:val="clear" w:color="auto" w:fill="auto"/>
            <w:noWrap/>
          </w:tcPr>
          <w:p w14:paraId="353828EF" w14:textId="6F122A55" w:rsidR="00F70CD7" w:rsidRPr="004D2D25" w:rsidRDefault="00F70CD7" w:rsidP="00F70CD7">
            <w:pPr>
              <w:spacing w:after="0" w:line="240" w:lineRule="auto"/>
              <w:jc w:val="center"/>
              <w:rPr>
                <w:rFonts w:eastAsia="Times New Roman" w:cs="Times New Roman"/>
                <w:b/>
                <w:bCs/>
                <w:color w:val="000000"/>
              </w:rPr>
            </w:pPr>
            <w:r w:rsidRPr="00662A9D">
              <w:t>2</w:t>
            </w:r>
          </w:p>
        </w:tc>
        <w:tc>
          <w:tcPr>
            <w:tcW w:w="4680" w:type="dxa"/>
            <w:tcBorders>
              <w:top w:val="nil"/>
              <w:left w:val="nil"/>
              <w:bottom w:val="single" w:sz="4" w:space="0" w:color="auto"/>
              <w:right w:val="single" w:sz="4" w:space="0" w:color="auto"/>
            </w:tcBorders>
            <w:shd w:val="clear" w:color="auto" w:fill="auto"/>
            <w:noWrap/>
          </w:tcPr>
          <w:p w14:paraId="468716A4" w14:textId="26EEF8B7" w:rsidR="00F70CD7" w:rsidRPr="004D2D25" w:rsidRDefault="00F70CD7" w:rsidP="00F70CD7">
            <w:pPr>
              <w:spacing w:after="0" w:line="240" w:lineRule="auto"/>
              <w:jc w:val="center"/>
              <w:rPr>
                <w:rFonts w:eastAsia="Times New Roman" w:cs="Times New Roman"/>
                <w:b/>
                <w:bCs/>
                <w:color w:val="000000"/>
              </w:rPr>
            </w:pPr>
            <w:r w:rsidRPr="00662A9D">
              <w:t>September 2025</w:t>
            </w:r>
          </w:p>
        </w:tc>
      </w:tr>
      <w:tr w:rsidR="002978F9" w:rsidRPr="004D2D25" w14:paraId="23C1EBBE" w14:textId="77777777" w:rsidTr="00161C1A">
        <w:trPr>
          <w:trHeight w:val="70"/>
        </w:trPr>
        <w:tc>
          <w:tcPr>
            <w:tcW w:w="2335" w:type="dxa"/>
            <w:tcBorders>
              <w:top w:val="nil"/>
              <w:left w:val="single" w:sz="4" w:space="0" w:color="auto"/>
              <w:bottom w:val="single" w:sz="4" w:space="0" w:color="auto"/>
              <w:right w:val="single" w:sz="4" w:space="0" w:color="auto"/>
            </w:tcBorders>
            <w:shd w:val="clear" w:color="auto" w:fill="auto"/>
            <w:noWrap/>
          </w:tcPr>
          <w:p w14:paraId="2276851D" w14:textId="49696A66" w:rsidR="002978F9" w:rsidRPr="00662A9D" w:rsidRDefault="002978F9" w:rsidP="002978F9">
            <w:pPr>
              <w:spacing w:after="0" w:line="240" w:lineRule="auto"/>
              <w:jc w:val="center"/>
            </w:pPr>
            <w:r w:rsidRPr="00662A9D">
              <w:t>August 2024</w:t>
            </w:r>
          </w:p>
        </w:tc>
        <w:tc>
          <w:tcPr>
            <w:tcW w:w="2430" w:type="dxa"/>
            <w:tcBorders>
              <w:top w:val="nil"/>
              <w:left w:val="nil"/>
              <w:bottom w:val="single" w:sz="4" w:space="0" w:color="auto"/>
              <w:right w:val="single" w:sz="4" w:space="0" w:color="auto"/>
            </w:tcBorders>
            <w:shd w:val="clear" w:color="auto" w:fill="auto"/>
            <w:noWrap/>
          </w:tcPr>
          <w:p w14:paraId="37DD7297" w14:textId="6C23A770" w:rsidR="002978F9" w:rsidRPr="00662A9D" w:rsidRDefault="002978F9" w:rsidP="002978F9">
            <w:pPr>
              <w:spacing w:after="0" w:line="240" w:lineRule="auto"/>
              <w:jc w:val="center"/>
            </w:pPr>
            <w:r w:rsidRPr="00662A9D">
              <w:t>2</w:t>
            </w:r>
          </w:p>
        </w:tc>
        <w:tc>
          <w:tcPr>
            <w:tcW w:w="4680" w:type="dxa"/>
            <w:tcBorders>
              <w:top w:val="nil"/>
              <w:left w:val="nil"/>
              <w:bottom w:val="single" w:sz="4" w:space="0" w:color="auto"/>
              <w:right w:val="single" w:sz="4" w:space="0" w:color="auto"/>
            </w:tcBorders>
            <w:shd w:val="clear" w:color="auto" w:fill="auto"/>
            <w:noWrap/>
          </w:tcPr>
          <w:p w14:paraId="4581E884" w14:textId="2EDB7278" w:rsidR="002978F9" w:rsidRPr="00662A9D" w:rsidRDefault="002978F9" w:rsidP="002978F9">
            <w:pPr>
              <w:spacing w:after="0" w:line="240" w:lineRule="auto"/>
              <w:jc w:val="center"/>
            </w:pPr>
            <w:r w:rsidRPr="00662A9D">
              <w:t>August 2026</w:t>
            </w:r>
          </w:p>
        </w:tc>
      </w:tr>
      <w:tr w:rsidR="002978F9" w:rsidRPr="004D2D25" w14:paraId="5C514DB0" w14:textId="77777777" w:rsidTr="00161C1A">
        <w:trPr>
          <w:trHeight w:val="70"/>
        </w:trPr>
        <w:tc>
          <w:tcPr>
            <w:tcW w:w="2335" w:type="dxa"/>
            <w:tcBorders>
              <w:top w:val="nil"/>
              <w:left w:val="single" w:sz="4" w:space="0" w:color="auto"/>
              <w:bottom w:val="single" w:sz="4" w:space="0" w:color="auto"/>
              <w:right w:val="single" w:sz="4" w:space="0" w:color="auto"/>
            </w:tcBorders>
            <w:shd w:val="clear" w:color="auto" w:fill="auto"/>
            <w:noWrap/>
          </w:tcPr>
          <w:p w14:paraId="2D049977" w14:textId="29AF364A" w:rsidR="002978F9" w:rsidRPr="004D2D25" w:rsidRDefault="002978F9" w:rsidP="002978F9">
            <w:pPr>
              <w:spacing w:after="0" w:line="240" w:lineRule="auto"/>
              <w:jc w:val="center"/>
              <w:rPr>
                <w:rFonts w:eastAsia="Times New Roman" w:cs="Times New Roman"/>
                <w:color w:val="000000"/>
              </w:rPr>
            </w:pPr>
            <w:r>
              <w:t>September</w:t>
            </w:r>
            <w:r w:rsidRPr="00662A9D">
              <w:t xml:space="preserve"> 2024</w:t>
            </w:r>
          </w:p>
        </w:tc>
        <w:tc>
          <w:tcPr>
            <w:tcW w:w="2430" w:type="dxa"/>
            <w:tcBorders>
              <w:top w:val="nil"/>
              <w:left w:val="nil"/>
              <w:bottom w:val="single" w:sz="4" w:space="0" w:color="auto"/>
              <w:right w:val="single" w:sz="4" w:space="0" w:color="auto"/>
            </w:tcBorders>
            <w:shd w:val="clear" w:color="auto" w:fill="auto"/>
            <w:noWrap/>
          </w:tcPr>
          <w:p w14:paraId="24803B61" w14:textId="4A651FF5" w:rsidR="002978F9" w:rsidRPr="004D2D25" w:rsidRDefault="002978F9" w:rsidP="002978F9">
            <w:pPr>
              <w:spacing w:after="0" w:line="240" w:lineRule="auto"/>
              <w:jc w:val="center"/>
              <w:rPr>
                <w:rFonts w:eastAsia="Times New Roman" w:cs="Times New Roman"/>
                <w:color w:val="000000"/>
              </w:rPr>
            </w:pPr>
            <w:r w:rsidRPr="00662A9D">
              <w:t>2</w:t>
            </w:r>
          </w:p>
        </w:tc>
        <w:tc>
          <w:tcPr>
            <w:tcW w:w="4680" w:type="dxa"/>
            <w:tcBorders>
              <w:top w:val="nil"/>
              <w:left w:val="nil"/>
              <w:bottom w:val="single" w:sz="4" w:space="0" w:color="auto"/>
              <w:right w:val="single" w:sz="4" w:space="0" w:color="auto"/>
            </w:tcBorders>
            <w:shd w:val="clear" w:color="auto" w:fill="auto"/>
            <w:noWrap/>
          </w:tcPr>
          <w:p w14:paraId="6672C736" w14:textId="46CC0B72" w:rsidR="002978F9" w:rsidRPr="004D2D25" w:rsidRDefault="002978F9" w:rsidP="002978F9">
            <w:pPr>
              <w:spacing w:after="0" w:line="240" w:lineRule="auto"/>
              <w:jc w:val="center"/>
              <w:rPr>
                <w:rFonts w:eastAsia="Times New Roman" w:cs="Times New Roman"/>
                <w:color w:val="000000"/>
              </w:rPr>
            </w:pPr>
            <w:r>
              <w:t>September</w:t>
            </w:r>
            <w:r w:rsidRPr="00662A9D">
              <w:t xml:space="preserve"> 2026</w:t>
            </w:r>
          </w:p>
        </w:tc>
      </w:tr>
    </w:tbl>
    <w:p w14:paraId="67F0C5F9" w14:textId="77777777" w:rsidR="00E73678" w:rsidRDefault="00E73678" w:rsidP="0067698F">
      <w:pPr>
        <w:spacing w:after="0" w:line="360" w:lineRule="auto"/>
        <w:ind w:firstLine="720"/>
      </w:pPr>
    </w:p>
    <w:p w14:paraId="42926E70" w14:textId="72DF8919" w:rsidR="0067698F" w:rsidRPr="0067698F" w:rsidRDefault="0067698F" w:rsidP="00E73678">
      <w:pPr>
        <w:spacing w:after="0" w:line="360" w:lineRule="auto"/>
        <w:ind w:firstLine="720"/>
      </w:pPr>
      <w:r w:rsidRPr="004D2D25">
        <w:t>D.2</w:t>
      </w:r>
      <w:r>
        <w:t>3</w:t>
      </w:r>
      <w:r w:rsidRPr="004D2D25">
        <w:t>-06-029 specifies</w:t>
      </w:r>
      <w:r w:rsidR="00E73678">
        <w:t xml:space="preserve"> that p</w:t>
      </w:r>
      <w:r w:rsidR="00E73678" w:rsidRPr="00E73678">
        <w:t xml:space="preserve">enalty points accrued by a LSE will be applied to an LSE’s </w:t>
      </w:r>
      <w:r w:rsidR="00756CF8">
        <w:t>MA</w:t>
      </w:r>
      <w:r w:rsidR="00E73678" w:rsidRPr="00E73678">
        <w:t xml:space="preserve"> and/or </w:t>
      </w:r>
      <w:r w:rsidR="00756CF8">
        <w:t>YA</w:t>
      </w:r>
      <w:r w:rsidR="00E73678" w:rsidRPr="00E73678">
        <w:t xml:space="preserve"> </w:t>
      </w:r>
      <w:r w:rsidR="00E73678">
        <w:t>RA</w:t>
      </w:r>
      <w:r w:rsidR="00E73678" w:rsidRPr="00E73678">
        <w:t xml:space="preserve"> penalties.</w:t>
      </w:r>
      <w:r w:rsidR="00E73678">
        <w:rPr>
          <w:rStyle w:val="FootnoteReference"/>
        </w:rPr>
        <w:footnoteReference w:id="19"/>
      </w:r>
      <w:r w:rsidR="00E73678">
        <w:t xml:space="preserve">  </w:t>
      </w:r>
      <w:r w:rsidR="00E73678" w:rsidRPr="00E73678">
        <w:t xml:space="preserve">If an LSE enters a higher tier during a year in which it incurs </w:t>
      </w:r>
      <w:r w:rsidR="00756CF8">
        <w:t>YA</w:t>
      </w:r>
      <w:r w:rsidR="00E73678" w:rsidRPr="00E73678">
        <w:t xml:space="preserve"> deficiencies, the higher penalty will apply beginning with the monthly deficiency when the LSE enters the higher tier. </w:t>
      </w:r>
      <w:r w:rsidR="00756CF8">
        <w:t xml:space="preserve"> </w:t>
      </w:r>
      <w:r w:rsidR="00E73678" w:rsidRPr="00E73678">
        <w:t>The month in which an LSE accrues points that brings the LSE into the next tier, the higher penalty will apply to the deficient month for which the points were accrued.</w:t>
      </w:r>
      <w:r w:rsidR="00E73678">
        <w:t xml:space="preserve">  D.23-06-029 also specifies </w:t>
      </w:r>
      <w:r w:rsidRPr="004D2D25">
        <w:t xml:space="preserve">that </w:t>
      </w:r>
      <w:r>
        <w:t xml:space="preserve">all </w:t>
      </w:r>
      <w:r w:rsidR="00756CF8">
        <w:t>YA</w:t>
      </w:r>
      <w:r>
        <w:t xml:space="preserve"> RA deficiencies will be charged </w:t>
      </w:r>
      <w:r w:rsidRPr="0067698F">
        <w:t xml:space="preserve">at the Tier 1 price, and in the </w:t>
      </w:r>
      <w:r>
        <w:t>MA</w:t>
      </w:r>
      <w:r w:rsidRPr="0067698F">
        <w:t xml:space="preserve"> RA process, the </w:t>
      </w:r>
      <w:r>
        <w:t>L</w:t>
      </w:r>
      <w:r w:rsidRPr="0067698F">
        <w:t xml:space="preserve">SE will pay the difference between its </w:t>
      </w:r>
      <w:r w:rsidR="00756CF8">
        <w:t>MA</w:t>
      </w:r>
      <w:r w:rsidRPr="0067698F">
        <w:t xml:space="preserve"> tier penalty and the Tier 1 penalty that was already paid on its </w:t>
      </w:r>
      <w:r w:rsidR="00756CF8">
        <w:t>YA</w:t>
      </w:r>
      <w:r w:rsidRPr="0067698F">
        <w:t xml:space="preserve"> RA deficiency, plus the LSE’s current tier price on any incremental </w:t>
      </w:r>
      <w:r w:rsidR="00756CF8">
        <w:t>MA</w:t>
      </w:r>
      <w:r w:rsidRPr="0067698F">
        <w:t xml:space="preserve"> RA deficiency. The following formula will be applied:</w:t>
      </w:r>
      <w:r w:rsidR="00E73678">
        <w:rPr>
          <w:rStyle w:val="FootnoteReference"/>
        </w:rPr>
        <w:footnoteReference w:id="20"/>
      </w:r>
      <w:r w:rsidRPr="0067698F">
        <w:t xml:space="preserve"> </w:t>
      </w:r>
    </w:p>
    <w:p w14:paraId="06A3A3EB" w14:textId="526F7D3B" w:rsidR="0067698F" w:rsidRPr="00170542" w:rsidRDefault="0067698F" w:rsidP="0067698F">
      <w:pPr>
        <w:numPr>
          <w:ilvl w:val="0"/>
          <w:numId w:val="9"/>
        </w:numPr>
        <w:spacing w:after="0" w:line="360" w:lineRule="auto"/>
        <w:ind w:left="720"/>
        <w:rPr>
          <w:b/>
          <w:bCs/>
        </w:rPr>
      </w:pPr>
      <w:r w:rsidRPr="00170542">
        <w:rPr>
          <w:b/>
          <w:bCs/>
        </w:rPr>
        <w:lastRenderedPageBreak/>
        <w:t>Year-Ahead penalty = Deficiency</w:t>
      </w:r>
      <w:r w:rsidRPr="00170542">
        <w:rPr>
          <w:b/>
          <w:bCs/>
          <w:vertAlign w:val="superscript"/>
        </w:rPr>
        <w:t xml:space="preserve">Year-Ahead </w:t>
      </w:r>
      <w:r w:rsidRPr="00170542">
        <w:rPr>
          <w:b/>
          <w:bCs/>
        </w:rPr>
        <w:t xml:space="preserve">x Tier 1 Price </w:t>
      </w:r>
    </w:p>
    <w:p w14:paraId="62CF5CAE" w14:textId="41F4310F" w:rsidR="0067698F" w:rsidRPr="00170542" w:rsidRDefault="0067698F" w:rsidP="0067698F">
      <w:pPr>
        <w:numPr>
          <w:ilvl w:val="0"/>
          <w:numId w:val="9"/>
        </w:numPr>
        <w:spacing w:after="0" w:line="360" w:lineRule="auto"/>
        <w:ind w:left="720"/>
        <w:rPr>
          <w:b/>
          <w:bCs/>
        </w:rPr>
      </w:pPr>
      <w:r w:rsidRPr="00170542">
        <w:rPr>
          <w:b/>
          <w:bCs/>
        </w:rPr>
        <w:t>Month-Ahead penalty = [(Deficiency</w:t>
      </w:r>
      <w:r w:rsidRPr="00170542">
        <w:rPr>
          <w:b/>
          <w:bCs/>
          <w:vertAlign w:val="superscript"/>
        </w:rPr>
        <w:t xml:space="preserve">Year-Ahead </w:t>
      </w:r>
      <w:r w:rsidRPr="00170542">
        <w:rPr>
          <w:b/>
          <w:bCs/>
        </w:rPr>
        <w:t>x Tier Price</w:t>
      </w:r>
      <w:r w:rsidRPr="00170542">
        <w:rPr>
          <w:b/>
          <w:bCs/>
          <w:vertAlign w:val="superscript"/>
        </w:rPr>
        <w:t xml:space="preserve">Month-Ahead) </w:t>
      </w:r>
      <w:r w:rsidRPr="00170542">
        <w:rPr>
          <w:b/>
          <w:bCs/>
        </w:rPr>
        <w:t xml:space="preserve">– Year-Ahead penalty] + (Deficiency </w:t>
      </w:r>
      <w:r w:rsidRPr="00170542">
        <w:rPr>
          <w:b/>
          <w:bCs/>
          <w:vertAlign w:val="superscript"/>
        </w:rPr>
        <w:t>Month-Ahead</w:t>
      </w:r>
      <w:r w:rsidRPr="00170542">
        <w:rPr>
          <w:b/>
          <w:bCs/>
        </w:rPr>
        <w:t xml:space="preserve"> incremental x Tier Price</w:t>
      </w:r>
      <w:r w:rsidRPr="00170542">
        <w:rPr>
          <w:b/>
          <w:bCs/>
          <w:vertAlign w:val="superscript"/>
        </w:rPr>
        <w:t>Month-Ahead</w:t>
      </w:r>
      <w:r w:rsidRPr="00170542">
        <w:rPr>
          <w:b/>
          <w:bCs/>
        </w:rPr>
        <w:t>)</w:t>
      </w:r>
    </w:p>
    <w:p w14:paraId="48B6203E" w14:textId="77777777" w:rsidR="00347912" w:rsidRPr="004D2D25" w:rsidRDefault="00347912" w:rsidP="0080076F">
      <w:pPr>
        <w:pStyle w:val="ListParagraph"/>
        <w:ind w:left="1080"/>
        <w:contextualSpacing w:val="0"/>
        <w:rPr>
          <w:rStyle w:val="Heading2Char"/>
          <w:rFonts w:ascii="Garamond" w:hAnsi="Garamond"/>
          <w:b/>
          <w:bCs/>
          <w:i w:val="0"/>
          <w:iCs w:val="0"/>
        </w:rPr>
      </w:pPr>
    </w:p>
    <w:p w14:paraId="361E486F" w14:textId="3C789CEB" w:rsidR="00B57F56" w:rsidRPr="004D2D25" w:rsidRDefault="00B57F56" w:rsidP="00CB390E">
      <w:pPr>
        <w:pStyle w:val="ListParagraph"/>
        <w:numPr>
          <w:ilvl w:val="0"/>
          <w:numId w:val="5"/>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 xml:space="preserve">Scheduled Penalty for </w:t>
      </w:r>
      <w:r w:rsidR="005E55CE">
        <w:rPr>
          <w:rStyle w:val="Heading2Char"/>
          <w:rFonts w:ascii="Garamond" w:hAnsi="Garamond"/>
          <w:b/>
          <w:bCs/>
          <w:i w:val="0"/>
          <w:iCs w:val="0"/>
        </w:rPr>
        <w:t>Clean Energy Alliance’s</w:t>
      </w:r>
      <w:r w:rsidRPr="004D2D25">
        <w:rPr>
          <w:rStyle w:val="Heading2Char"/>
          <w:rFonts w:ascii="Garamond" w:hAnsi="Garamond"/>
          <w:b/>
          <w:bCs/>
          <w:i w:val="0"/>
          <w:iCs w:val="0"/>
        </w:rPr>
        <w:t xml:space="preserve"> Deficiency</w:t>
      </w:r>
    </w:p>
    <w:p w14:paraId="68B33C4B" w14:textId="1030BEA9" w:rsidR="00034E37" w:rsidRDefault="007C5E86" w:rsidP="00AE0819">
      <w:pPr>
        <w:spacing w:after="0" w:line="360" w:lineRule="auto"/>
        <w:ind w:firstLine="720"/>
      </w:pPr>
      <w:r w:rsidRPr="007C5E86">
        <w:t xml:space="preserve">Resolution E-4195, as modified by D.10-06-036, D.11-06-022, D.14-06-050, D.19-06-026, D.20-06-031, D.21-06-029, D.22-06-050, D.23-06-029, and D.24-06-004 </w:t>
      </w:r>
      <w:r w:rsidR="00224C7B" w:rsidRPr="00590D2F">
        <w:t>prescribe a $10,000.00 per incident for System RA deficiency cured within five business days from the date of notification by ED if the deficiency is over 10.00 MW.</w:t>
      </w:r>
      <w:r w:rsidR="00224C7B" w:rsidRPr="00590D2F">
        <w:rPr>
          <w:vertAlign w:val="superscript"/>
        </w:rPr>
        <w:footnoteReference w:id="21"/>
      </w:r>
      <w:r w:rsidR="00224C7B" w:rsidRPr="00590D2F">
        <w:t xml:space="preserve">  Accordingly, </w:t>
      </w:r>
      <w:r w:rsidR="00224C7B">
        <w:t>CEA</w:t>
      </w:r>
      <w:r w:rsidR="00224C7B" w:rsidRPr="00590D2F">
        <w:t xml:space="preserve"> is being cited $10,000.00 for its 1</w:t>
      </w:r>
      <w:r w:rsidR="00224C7B">
        <w:t>7</w:t>
      </w:r>
      <w:r w:rsidR="00224C7B" w:rsidRPr="00590D2F">
        <w:t>.0</w:t>
      </w:r>
      <w:r w:rsidR="00224C7B">
        <w:t>0</w:t>
      </w:r>
      <w:r w:rsidR="00224C7B" w:rsidRPr="00590D2F">
        <w:t xml:space="preserve"> MW of System RA deficiency in </w:t>
      </w:r>
      <w:r w:rsidR="00224C7B">
        <w:t>September</w:t>
      </w:r>
      <w:r w:rsidR="00224C7B" w:rsidRPr="00590D2F">
        <w:t xml:space="preserve"> 2024 cured within five business days from the date of notification by ED.</w:t>
      </w:r>
    </w:p>
    <w:p w14:paraId="533A8039" w14:textId="5A087C23" w:rsidR="001E61B8" w:rsidRPr="00A27D2F" w:rsidRDefault="00034E37" w:rsidP="00AE0819">
      <w:pPr>
        <w:spacing w:after="0" w:line="360" w:lineRule="auto"/>
        <w:ind w:firstLine="720"/>
      </w:pPr>
      <w:r>
        <w:t xml:space="preserve">Scheduled penalties </w:t>
      </w:r>
      <w:r w:rsidR="007C5E86" w:rsidRPr="007C5E86">
        <w:t xml:space="preserve">prescribes an $8.88/kW-month in summer months (May through October) and $4.44/kW-month in non-summer months for a System RA remedied after five business days from the date of notification by ED or not remedied at all.  </w:t>
      </w:r>
      <w:r w:rsidR="00423CA2">
        <w:t xml:space="preserve">The Tier 2 penalty (2x the applicable </w:t>
      </w:r>
      <w:r w:rsidR="00937268">
        <w:t>S</w:t>
      </w:r>
      <w:r w:rsidR="00423CA2">
        <w:t>ystem RA penalty price) is $</w:t>
      </w:r>
      <w:r w:rsidR="00667560">
        <w:t>17.76</w:t>
      </w:r>
      <w:r w:rsidR="00423CA2">
        <w:t xml:space="preserve">/kW-month in summer months (May through October) and $8.88/kW-month in non-summer months for a System RA deficiency remedied after five </w:t>
      </w:r>
      <w:r w:rsidR="00423CA2" w:rsidRPr="00A27D2F">
        <w:t>business days from the date of notification by ED or not remedied at all</w:t>
      </w:r>
      <w:r w:rsidR="00CF6748" w:rsidRPr="00A27D2F">
        <w:t>.</w:t>
      </w:r>
      <w:r w:rsidR="00AE0819" w:rsidRPr="00A27D2F">
        <w:t xml:space="preserve">  </w:t>
      </w:r>
    </w:p>
    <w:p w14:paraId="44E81B0D" w14:textId="09E42DBF" w:rsidR="00B900FD" w:rsidRPr="00A27D2F" w:rsidRDefault="00B900FD" w:rsidP="00B900FD">
      <w:pPr>
        <w:spacing w:after="0" w:line="360" w:lineRule="auto"/>
        <w:ind w:firstLine="720"/>
      </w:pPr>
      <w:r w:rsidRPr="00A27D2F">
        <w:t>Accordingly, CEA is being cited $1,226,328.00 {[(134.38 MW x $17.76) – (134.38 MW x $8.88)] + (1.86 MW x $17.76)} for its 134.38 MW of YA System RA deficiency and 1.86 MW (136.24 MW minus 134.38 MW) of incremental System RA deficiency remedied after five business days from the date of ED’s notification or not remedied at all for the month of September 2024.</w:t>
      </w:r>
    </w:p>
    <w:p w14:paraId="03BADB25" w14:textId="245EAA08" w:rsidR="00423CA2" w:rsidRPr="004D2D25" w:rsidRDefault="00B900FD" w:rsidP="00B900FD">
      <w:pPr>
        <w:spacing w:after="0" w:line="360" w:lineRule="auto"/>
        <w:ind w:firstLine="720"/>
      </w:pPr>
      <w:r w:rsidRPr="00A27D2F">
        <w:t xml:space="preserve">The total penalty </w:t>
      </w:r>
      <w:r w:rsidR="00702E9E" w:rsidRPr="00A27D2F">
        <w:t>for CEA’s September</w:t>
      </w:r>
      <w:r w:rsidR="00400B8F" w:rsidRPr="00A27D2F">
        <w:t xml:space="preserve"> 2024 RA deficiency is</w:t>
      </w:r>
      <w:r w:rsidRPr="00A27D2F">
        <w:t xml:space="preserve"> $1,236,328.00 ($10,000.00 + $1,226,328.00).</w:t>
      </w:r>
    </w:p>
    <w:p w14:paraId="42CD8897" w14:textId="3F18BCB7" w:rsidR="00B57F56" w:rsidRDefault="00B57F56" w:rsidP="00310332">
      <w:pPr>
        <w:spacing w:after="0" w:line="360" w:lineRule="auto"/>
        <w:ind w:firstLine="720"/>
      </w:pPr>
    </w:p>
    <w:p w14:paraId="639B3C16" w14:textId="77777777" w:rsidR="00B57F56" w:rsidRPr="005F3208" w:rsidRDefault="00000000"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answer you may either:</w:t>
      </w:r>
    </w:p>
    <w:p w14:paraId="6A4EA332" w14:textId="6024709E"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0B4931">
        <w:t>1,236,328.00</w:t>
      </w:r>
      <w:r w:rsidRPr="004D2D25">
        <w:rPr>
          <w:rFonts w:eastAsia="Calibri" w:cs="Times New Roman"/>
        </w:rPr>
        <w:t xml:space="preserve"> </w:t>
      </w:r>
      <w:r w:rsidRPr="004D2D25">
        <w:rPr>
          <w:rFonts w:eastAsia="Times New Roman" w:cs="Times New Roman"/>
        </w:rPr>
        <w:t xml:space="preserve">pursuant to the Specified Violations and Scheduled Penalties (Resolution E-4195, subsequently modified by D.10-06-036, D.11-06-022, D.14-06-050, D.19-06-026, D.20-06-031, D.21-06-029, D.22-06-050, D.23-06-029, and </w:t>
      </w:r>
      <w:r w:rsidRPr="004D2D25">
        <w:rPr>
          <w:rFonts w:eastAsia="Times New Roman" w:cs="Times New Roman"/>
        </w:rPr>
        <w:lastRenderedPageBreak/>
        <w:t xml:space="preserve">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ATTN:  Jeanette Lo,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noProof/>
        </w:rPr>
        <w:drawing>
          <wp:inline distT="0" distB="0" distL="0" distR="0" wp14:anchorId="3E953097" wp14:editId="7C75EAB1">
            <wp:extent cx="1924050" cy="685800"/>
            <wp:effectExtent l="0" t="0" r="0" b="0"/>
            <wp:docPr id="1" name="Picture 1" descr="A picture containing text, hang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ang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8720EF6"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______________</w:t>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t>_________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Jeanette Lo</w:t>
      </w:r>
    </w:p>
    <w:p w14:paraId="02AB5134"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Utilities Enforcement Branch Chief</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lastRenderedPageBreak/>
        <w:t>Consumer Protection and Enforcement Divisio</w:t>
      </w:r>
      <w:r w:rsidRPr="004D2D25">
        <w:rPr>
          <w:rFonts w:eastAsia="Times New Roman" w:cs="Times New Roman"/>
        </w:rPr>
        <w:t>n</w:t>
      </w:r>
    </w:p>
    <w:p w14:paraId="7BA20893" w14:textId="42039234"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F72862">
        <w:rPr>
          <w:bCs/>
        </w:rPr>
        <w:t>0187</w:t>
      </w:r>
      <w:r w:rsidRPr="00394224">
        <w:rPr>
          <w:rFonts w:eastAsia="Times New Roman"/>
        </w:rPr>
        <w:t xml:space="preserve">, dated November </w:t>
      </w:r>
      <w:r w:rsidR="00306471">
        <w:rPr>
          <w:rFonts w:eastAsia="Times New Roman"/>
        </w:rPr>
        <w:t>18</w:t>
      </w:r>
      <w:r w:rsidRPr="00394224">
        <w:rPr>
          <w:rFonts w:eastAsia="Times New Roman"/>
        </w:rPr>
        <w:t xml:space="preserve">, 2024 and herewith pay a fine in the amount of </w:t>
      </w:r>
      <w:r w:rsidR="000B4931">
        <w:t>$1,236,328.00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505 Van Ness Ave., Room 1380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1D58982B" w:rsidR="00CB390E" w:rsidRPr="00394224" w:rsidRDefault="00CB390E" w:rsidP="00CB390E">
      <w:pPr>
        <w:numPr>
          <w:ilvl w:val="1"/>
          <w:numId w:val="7"/>
        </w:numPr>
        <w:spacing w:after="0" w:line="360" w:lineRule="auto"/>
        <w:rPr>
          <w:rFonts w:eastAsia="Times New Roman"/>
        </w:rPr>
      </w:pPr>
      <w:bookmarkStart w:id="1" w:name="_Hlk79585453"/>
      <w:r w:rsidRPr="00394224">
        <w:rPr>
          <w:rFonts w:eastAsia="Times New Roman"/>
        </w:rPr>
        <w:t xml:space="preserve">Please PDF a copy of this form to </w:t>
      </w:r>
      <w:r w:rsidR="00FE4F0C">
        <w:rPr>
          <w:rFonts w:eastAsia="Times New Roman"/>
        </w:rPr>
        <w:t>Donovan Tan</w:t>
      </w:r>
      <w:r w:rsidRPr="00394224">
        <w:rPr>
          <w:rFonts w:eastAsia="Times New Roman"/>
        </w:rPr>
        <w:t xml:space="preserve"> at [</w:t>
      </w:r>
      <w:r w:rsidR="00FE4F0C">
        <w:rPr>
          <w:rFonts w:eastAsia="Times New Roman"/>
        </w:rPr>
        <w:t>Donovan.Tan</w:t>
      </w:r>
      <w:r w:rsidRPr="00394224">
        <w:rPr>
          <w:rFonts w:eastAsia="Times New Roman"/>
        </w:rPr>
        <w:t>@cpuc.ca.gov].</w:t>
      </w:r>
    </w:p>
    <w:p w14:paraId="34624291" w14:textId="47B8D502"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FE4F0C">
        <w:rPr>
          <w:rFonts w:eastAsia="Times New Roman"/>
        </w:rPr>
        <w:t>Donovan Tan</w:t>
      </w:r>
      <w:r w:rsidRPr="00394224">
        <w:rPr>
          <w:rFonts w:eastAsia="Times New Roman"/>
        </w:rPr>
        <w:t xml:space="preserve"> at [</w:t>
      </w:r>
      <w:r w:rsidR="00FE4F0C">
        <w:rPr>
          <w:rFonts w:eastAsia="Times New Roman"/>
        </w:rPr>
        <w:t>213</w:t>
      </w:r>
      <w:r w:rsidRPr="00394224">
        <w:rPr>
          <w:rFonts w:eastAsia="Times New Roman"/>
        </w:rPr>
        <w:t>-</w:t>
      </w:r>
      <w:r w:rsidR="00FE4F0C">
        <w:rPr>
          <w:rFonts w:eastAsia="Times New Roman"/>
        </w:rPr>
        <w:t>999</w:t>
      </w:r>
      <w:r w:rsidRPr="00394224">
        <w:rPr>
          <w:rFonts w:eastAsia="Times New Roman"/>
        </w:rPr>
        <w:t>-</w:t>
      </w:r>
      <w:r w:rsidR="00FE4F0C">
        <w:rPr>
          <w:rFonts w:eastAsia="Times New Roman"/>
        </w:rPr>
        <w:t>8478</w:t>
      </w:r>
      <w:r w:rsidRPr="00394224">
        <w:rPr>
          <w:rFonts w:eastAsia="Times New Roman"/>
        </w:rPr>
        <w:t>] or [</w:t>
      </w:r>
      <w:r w:rsidR="00FE4F0C">
        <w:rPr>
          <w:rFonts w:eastAsia="Times New Roman"/>
        </w:rPr>
        <w:t>Donovan.Tan</w:t>
      </w:r>
      <w:r w:rsidRPr="00394224">
        <w:rPr>
          <w:rFonts w:eastAsia="Times New Roman"/>
        </w:rPr>
        <w:t>@cpuc.ca.gov].</w:t>
      </w:r>
    </w:p>
    <w:bookmarkEnd w:id="1"/>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27CF9E24"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2" w:name="_Hlk79585464"/>
      <w:r w:rsidRPr="00394224">
        <w:rPr>
          <w:rFonts w:eastAsia="Times New Roman"/>
        </w:rPr>
        <w:t xml:space="preserve">I hereby appeal </w:t>
      </w:r>
      <w:bookmarkStart w:id="3" w:name="_Hlk79591014"/>
      <w:r w:rsidRPr="00394224">
        <w:rPr>
          <w:rFonts w:eastAsia="Times New Roman"/>
        </w:rPr>
        <w:t xml:space="preserve">Citation No. </w:t>
      </w:r>
      <w:r w:rsidRPr="00394224">
        <w:rPr>
          <w:bCs/>
        </w:rPr>
        <w:t>E-4195-</w:t>
      </w:r>
      <w:r w:rsidR="00F72862" w:rsidRPr="00394224">
        <w:rPr>
          <w:bCs/>
        </w:rPr>
        <w:t>01</w:t>
      </w:r>
      <w:r w:rsidR="00F72862">
        <w:rPr>
          <w:bCs/>
        </w:rPr>
        <w:t>87</w:t>
      </w:r>
      <w:r w:rsidRPr="00394224">
        <w:rPr>
          <w:bCs/>
        </w:rPr>
        <w:t>,</w:t>
      </w:r>
      <w:r w:rsidRPr="00394224">
        <w:rPr>
          <w:rFonts w:eastAsia="Times New Roman"/>
        </w:rPr>
        <w:t xml:space="preserve"> dated November </w:t>
      </w:r>
      <w:r w:rsidR="00306471">
        <w:rPr>
          <w:rFonts w:eastAsia="Times New Roman"/>
        </w:rPr>
        <w:t>18</w:t>
      </w:r>
      <w:r w:rsidRPr="00394224">
        <w:rPr>
          <w:rFonts w:eastAsia="Times New Roman"/>
        </w:rPr>
        <w:t xml:space="preserve">, 2024.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34D6A03C"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FE4F0C">
        <w:rPr>
          <w:rFonts w:eastAsia="Times New Roman"/>
        </w:rPr>
        <w:t>Donovan Tan</w:t>
      </w:r>
      <w:r w:rsidRPr="00394224">
        <w:rPr>
          <w:rFonts w:eastAsia="Times New Roman"/>
        </w:rPr>
        <w:t xml:space="preserve"> at [</w:t>
      </w:r>
      <w:r w:rsidR="00FE4F0C">
        <w:rPr>
          <w:rFonts w:eastAsia="Times New Roman"/>
        </w:rPr>
        <w:t>Donovan.Tan</w:t>
      </w:r>
      <w:r w:rsidRPr="00394224">
        <w:rPr>
          <w:rFonts w:eastAsia="Times New Roman"/>
        </w:rPr>
        <w:t>@cpuc.ca.gov].</w:t>
      </w:r>
    </w:p>
    <w:bookmarkEnd w:id="2"/>
    <w:bookmarkEnd w:id="3"/>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08F0DBCC"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F72862" w:rsidRPr="00394224">
        <w:rPr>
          <w:bCs/>
          <w:u w:val="single"/>
        </w:rPr>
        <w:t>01</w:t>
      </w:r>
      <w:r w:rsidR="00F72862">
        <w:rPr>
          <w:bCs/>
          <w:u w:val="single"/>
        </w:rPr>
        <w:t>87</w:t>
      </w:r>
      <w:r w:rsidR="00F72862" w:rsidRPr="00394224">
        <w:rPr>
          <w:bCs/>
          <w:color w:val="FF0000"/>
        </w:rPr>
        <w:t xml:space="preserve">    </w:t>
      </w:r>
      <w:r w:rsidR="00F72862"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r w:rsidRPr="004D2D25">
        <w:rPr>
          <w:rFonts w:eastAsia="Times New Roman"/>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B09E1" w14:textId="77777777" w:rsidR="006B1CAB" w:rsidRDefault="006B1CAB" w:rsidP="004D3124">
      <w:r>
        <w:separator/>
      </w:r>
    </w:p>
  </w:endnote>
  <w:endnote w:type="continuationSeparator" w:id="0">
    <w:p w14:paraId="14B9C28F" w14:textId="77777777" w:rsidR="006B1CAB" w:rsidRDefault="006B1CAB"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10953255"/>
      <w:docPartObj>
        <w:docPartGallery w:val="Page Numbers (Bottom of Page)"/>
        <w:docPartUnique/>
      </w:docPartObj>
    </w:sdt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B97C0" w14:textId="77777777" w:rsidR="006B1CAB" w:rsidRDefault="006B1CAB" w:rsidP="004D3124">
      <w:r>
        <w:separator/>
      </w:r>
    </w:p>
  </w:footnote>
  <w:footnote w:type="continuationSeparator" w:id="0">
    <w:p w14:paraId="72A91F92" w14:textId="77777777" w:rsidR="006B1CAB" w:rsidRDefault="006B1CAB" w:rsidP="004D3124">
      <w:r>
        <w:continuationSeparator/>
      </w:r>
    </w:p>
  </w:footnote>
  <w:footnote w:id="1">
    <w:p w14:paraId="41B0C39A" w14:textId="75966095" w:rsidR="006A25C8" w:rsidRPr="00EC4678" w:rsidRDefault="006A25C8" w:rsidP="00095572">
      <w:pPr>
        <w:pStyle w:val="FootnoteText"/>
        <w:rPr>
          <w:rFonts w:ascii="Garamond" w:hAnsi="Garamond"/>
        </w:rPr>
      </w:pPr>
      <w:r w:rsidRPr="00EC4678">
        <w:rPr>
          <w:rStyle w:val="FootnoteReference"/>
          <w:rFonts w:ascii="Garamond" w:hAnsi="Garamond"/>
        </w:rPr>
        <w:footnoteRef/>
      </w:r>
      <w:r w:rsidRPr="00EC4678">
        <w:rPr>
          <w:rFonts w:ascii="Garamond" w:hAnsi="Garamond"/>
        </w:rPr>
        <w:t xml:space="preserve"> </w:t>
      </w:r>
      <w:r w:rsidR="00A27D2F" w:rsidRPr="00A27D2F">
        <w:rPr>
          <w:rFonts w:ascii="Garamond" w:hAnsi="Garamond"/>
          <w:highlight w:val="black"/>
        </w:rPr>
        <w:t>X</w:t>
      </w:r>
      <w:r w:rsidR="00095572" w:rsidRPr="00EC4678">
        <w:rPr>
          <w:rFonts w:ascii="Garamond" w:hAnsi="Garamond"/>
        </w:rPr>
        <w:t xml:space="preserve"> is confirmed for </w:t>
      </w:r>
      <w:r w:rsidR="00A27D2F" w:rsidRPr="00A27D2F">
        <w:rPr>
          <w:rFonts w:ascii="Garamond" w:hAnsi="Garamond"/>
          <w:highlight w:val="black"/>
        </w:rPr>
        <w:t>X</w:t>
      </w:r>
      <w:r w:rsidR="00A74EF9">
        <w:rPr>
          <w:rFonts w:ascii="Garamond" w:hAnsi="Garamond"/>
        </w:rPr>
        <w:t xml:space="preserve">, </w:t>
      </w:r>
      <w:r w:rsidR="00A27D2F" w:rsidRPr="00A27D2F">
        <w:rPr>
          <w:rFonts w:ascii="Garamond" w:hAnsi="Garamond"/>
          <w:highlight w:val="black"/>
        </w:rPr>
        <w:t>X</w:t>
      </w:r>
      <w:r w:rsidR="00095572" w:rsidRPr="00EC4678">
        <w:rPr>
          <w:rFonts w:ascii="Garamond" w:hAnsi="Garamond"/>
        </w:rPr>
        <w:t xml:space="preserve"> is confirmed for </w:t>
      </w:r>
      <w:r w:rsidR="00A27D2F" w:rsidRPr="00A27D2F">
        <w:rPr>
          <w:rFonts w:ascii="Garamond" w:hAnsi="Garamond"/>
          <w:highlight w:val="black"/>
        </w:rPr>
        <w:t>X</w:t>
      </w:r>
      <w:r w:rsidR="00A74EF9">
        <w:rPr>
          <w:rFonts w:ascii="Garamond" w:hAnsi="Garamond"/>
        </w:rPr>
        <w:t xml:space="preserve">, </w:t>
      </w:r>
      <w:r w:rsidR="00F72862">
        <w:rPr>
          <w:rFonts w:ascii="Garamond" w:hAnsi="Garamond"/>
        </w:rPr>
        <w:t xml:space="preserve">and </w:t>
      </w:r>
      <w:r w:rsidR="00A27D2F" w:rsidRPr="00A27D2F">
        <w:rPr>
          <w:rFonts w:ascii="Garamond" w:hAnsi="Garamond"/>
          <w:highlight w:val="black"/>
        </w:rPr>
        <w:t>X</w:t>
      </w:r>
      <w:r w:rsidR="00095572" w:rsidRPr="00EC4678">
        <w:rPr>
          <w:rFonts w:ascii="Garamond" w:hAnsi="Garamond"/>
        </w:rPr>
        <w:t xml:space="preserve"> is confirmed for </w:t>
      </w:r>
      <w:r w:rsidR="00A27D2F" w:rsidRPr="00A27D2F">
        <w:rPr>
          <w:rFonts w:ascii="Garamond" w:hAnsi="Garamond"/>
          <w:highlight w:val="black"/>
        </w:rPr>
        <w:t>X</w:t>
      </w:r>
      <w:r w:rsidR="00095572" w:rsidRPr="00EC4678">
        <w:rPr>
          <w:rFonts w:ascii="Garamond" w:hAnsi="Garamond"/>
        </w:rPr>
        <w:t xml:space="preserve"> </w:t>
      </w:r>
      <w:r w:rsidR="00A74EF9">
        <w:rPr>
          <w:rFonts w:ascii="Garamond" w:hAnsi="Garamond"/>
        </w:rPr>
        <w:t xml:space="preserve">of </w:t>
      </w:r>
      <w:r w:rsidR="00937268">
        <w:rPr>
          <w:rFonts w:ascii="Garamond" w:hAnsi="Garamond"/>
        </w:rPr>
        <w:t>S</w:t>
      </w:r>
      <w:r w:rsidR="00095572" w:rsidRPr="00EC4678">
        <w:rPr>
          <w:rFonts w:ascii="Garamond" w:hAnsi="Garamond"/>
        </w:rPr>
        <w:t xml:space="preserve">ystem </w:t>
      </w:r>
      <w:r w:rsidR="00A74EF9">
        <w:rPr>
          <w:rFonts w:ascii="Garamond" w:hAnsi="Garamond"/>
        </w:rPr>
        <w:t>RA</w:t>
      </w:r>
      <w:r w:rsidR="00A74EF9" w:rsidRPr="00EC4678">
        <w:rPr>
          <w:rFonts w:ascii="Garamond" w:hAnsi="Garamond"/>
        </w:rPr>
        <w:t xml:space="preserve"> </w:t>
      </w:r>
      <w:r w:rsidR="00095572" w:rsidRPr="00EC4678">
        <w:rPr>
          <w:rFonts w:ascii="Garamond" w:hAnsi="Garamond"/>
        </w:rPr>
        <w:t xml:space="preserve">in </w:t>
      </w:r>
      <w:r w:rsidR="00A74EF9">
        <w:rPr>
          <w:rFonts w:ascii="Garamond" w:hAnsi="Garamond"/>
        </w:rPr>
        <w:t>CEA’s</w:t>
      </w:r>
      <w:r w:rsidR="00A74EF9" w:rsidRPr="00EC4678">
        <w:rPr>
          <w:rFonts w:ascii="Garamond" w:hAnsi="Garamond"/>
        </w:rPr>
        <w:t xml:space="preserve"> </w:t>
      </w:r>
      <w:r w:rsidR="00095572" w:rsidRPr="00EC4678">
        <w:rPr>
          <w:rFonts w:ascii="Garamond" w:hAnsi="Garamond"/>
        </w:rPr>
        <w:t>supply plan.</w:t>
      </w:r>
    </w:p>
  </w:footnote>
  <w:footnote w:id="2">
    <w:p w14:paraId="02D28F09" w14:textId="1C16675B" w:rsidR="0046778F" w:rsidRPr="00EC4678" w:rsidRDefault="0046778F" w:rsidP="0046778F">
      <w:pPr>
        <w:pStyle w:val="FootnoteText"/>
        <w:rPr>
          <w:rFonts w:ascii="Garamond" w:hAnsi="Garamond"/>
        </w:rPr>
      </w:pPr>
      <w:r w:rsidRPr="00EC4678">
        <w:rPr>
          <w:rStyle w:val="FootnoteReference"/>
          <w:rFonts w:ascii="Garamond" w:hAnsi="Garamond"/>
        </w:rPr>
        <w:footnoteRef/>
      </w:r>
      <w:r w:rsidRPr="00EC4678">
        <w:rPr>
          <w:rFonts w:ascii="Garamond" w:hAnsi="Garamond"/>
        </w:rPr>
        <w:t xml:space="preserve"> </w:t>
      </w:r>
      <w:r w:rsidR="00A27D2F" w:rsidRPr="00A27D2F">
        <w:rPr>
          <w:rFonts w:ascii="Garamond" w:hAnsi="Garamond"/>
          <w:highlight w:val="black"/>
        </w:rPr>
        <w:t>X</w:t>
      </w:r>
      <w:r w:rsidRPr="00EC4678">
        <w:rPr>
          <w:rFonts w:ascii="Garamond" w:hAnsi="Garamond"/>
        </w:rPr>
        <w:t xml:space="preserve"> is confirmed for </w:t>
      </w:r>
      <w:r w:rsidR="00A27D2F" w:rsidRPr="00A27D2F">
        <w:rPr>
          <w:rFonts w:ascii="Garamond" w:hAnsi="Garamond"/>
          <w:highlight w:val="black"/>
        </w:rPr>
        <w:t>X</w:t>
      </w:r>
      <w:r w:rsidRPr="00EC4678">
        <w:rPr>
          <w:rFonts w:ascii="Garamond" w:hAnsi="Garamond"/>
        </w:rPr>
        <w:t xml:space="preserve"> </w:t>
      </w:r>
      <w:r>
        <w:rPr>
          <w:rFonts w:ascii="Garamond" w:hAnsi="Garamond"/>
        </w:rPr>
        <w:t>of category 1 flexible RA</w:t>
      </w:r>
      <w:r w:rsidRPr="00EC4678">
        <w:rPr>
          <w:rFonts w:ascii="Garamond" w:hAnsi="Garamond"/>
        </w:rPr>
        <w:t xml:space="preserve"> in </w:t>
      </w:r>
      <w:r>
        <w:rPr>
          <w:rFonts w:ascii="Garamond" w:hAnsi="Garamond"/>
        </w:rPr>
        <w:t>CEA’s</w:t>
      </w:r>
      <w:r w:rsidRPr="00EC4678">
        <w:rPr>
          <w:rFonts w:ascii="Garamond" w:hAnsi="Garamond"/>
        </w:rPr>
        <w:t xml:space="preserve"> supply plan.</w:t>
      </w:r>
    </w:p>
  </w:footnote>
  <w:footnote w:id="3">
    <w:p w14:paraId="58273722" w14:textId="4FCD3746" w:rsidR="0080076F" w:rsidRDefault="0080076F" w:rsidP="0080076F">
      <w:pPr>
        <w:pStyle w:val="FootnoteText"/>
      </w:pPr>
      <w:r>
        <w:rPr>
          <w:rStyle w:val="FootnoteReference"/>
        </w:rPr>
        <w:footnoteRef/>
      </w:r>
      <w:r>
        <w:t xml:space="preserve"> </w:t>
      </w:r>
      <w:r>
        <w:rPr>
          <w:rFonts w:ascii="Garamond" w:hAnsi="Garamond"/>
        </w:rPr>
        <w:t>CEA</w:t>
      </w:r>
      <w:r w:rsidRPr="00BA2FD2">
        <w:rPr>
          <w:rFonts w:ascii="Garamond" w:hAnsi="Garamond"/>
        </w:rPr>
        <w:t xml:space="preserve"> has a demand response allocation of </w:t>
      </w:r>
      <w:r w:rsidR="00A27D2F" w:rsidRPr="00A27D2F">
        <w:rPr>
          <w:rFonts w:ascii="Garamond" w:hAnsi="Garamond"/>
          <w:highlight w:val="black"/>
        </w:rPr>
        <w:t>X</w:t>
      </w:r>
      <w:r w:rsidRPr="00BA2FD2">
        <w:rPr>
          <w:rFonts w:ascii="Garamond" w:hAnsi="Garamond"/>
        </w:rPr>
        <w:t>.</w:t>
      </w:r>
    </w:p>
  </w:footnote>
  <w:footnote w:id="4">
    <w:p w14:paraId="0ABB7822" w14:textId="262AD3D0" w:rsidR="00F71FD6" w:rsidRDefault="00F71FD6">
      <w:pPr>
        <w:pStyle w:val="FootnoteText"/>
      </w:pPr>
      <w:r w:rsidRPr="00A951C9">
        <w:rPr>
          <w:rStyle w:val="FootnoteReference"/>
          <w:rFonts w:ascii="Garamond" w:hAnsi="Garamond"/>
        </w:rPr>
        <w:footnoteRef/>
      </w:r>
      <w:r w:rsidRPr="00A951C9">
        <w:rPr>
          <w:rFonts w:ascii="Garamond" w:hAnsi="Garamond"/>
        </w:rPr>
        <w:t xml:space="preserve"> </w:t>
      </w:r>
      <w:r w:rsidR="00EC4678" w:rsidRPr="00A951C9">
        <w:rPr>
          <w:rFonts w:ascii="Garamond" w:hAnsi="Garamond"/>
        </w:rPr>
        <w:t xml:space="preserve">CEA’s </w:t>
      </w:r>
      <w:r w:rsidR="00E063DE" w:rsidRPr="00A951C9">
        <w:rPr>
          <w:rFonts w:ascii="Garamond" w:hAnsi="Garamond"/>
        </w:rPr>
        <w:t>August</w:t>
      </w:r>
      <w:r w:rsidR="00A74EF9" w:rsidRPr="00A951C9">
        <w:rPr>
          <w:rFonts w:ascii="Garamond" w:hAnsi="Garamond"/>
        </w:rPr>
        <w:t xml:space="preserve"> </w:t>
      </w:r>
      <w:r w:rsidR="00E063DE" w:rsidRPr="00A951C9">
        <w:rPr>
          <w:rFonts w:ascii="Garamond" w:hAnsi="Garamond"/>
        </w:rPr>
        <w:t>2</w:t>
      </w:r>
      <w:r w:rsidR="00A74EF9" w:rsidRPr="00A951C9">
        <w:rPr>
          <w:rFonts w:ascii="Garamond" w:hAnsi="Garamond"/>
        </w:rPr>
        <w:t xml:space="preserve">, </w:t>
      </w:r>
      <w:proofErr w:type="gramStart"/>
      <w:r w:rsidR="00A74EF9" w:rsidRPr="00A951C9">
        <w:rPr>
          <w:rFonts w:ascii="Garamond" w:hAnsi="Garamond"/>
        </w:rPr>
        <w:t>2024</w:t>
      </w:r>
      <w:proofErr w:type="gramEnd"/>
      <w:r w:rsidR="00A74EF9" w:rsidRPr="00A951C9">
        <w:rPr>
          <w:rFonts w:ascii="Garamond" w:hAnsi="Garamond"/>
        </w:rPr>
        <w:t xml:space="preserve"> </w:t>
      </w:r>
      <w:r w:rsidR="00EC4678" w:rsidRPr="00A951C9">
        <w:rPr>
          <w:rFonts w:ascii="Garamond" w:hAnsi="Garamond"/>
        </w:rPr>
        <w:t xml:space="preserve">revised filing </w:t>
      </w:r>
      <w:r w:rsidR="00D16F6E" w:rsidRPr="00A951C9">
        <w:rPr>
          <w:rFonts w:ascii="Garamond" w:hAnsi="Garamond"/>
        </w:rPr>
        <w:t xml:space="preserve">added resource </w:t>
      </w:r>
      <w:r w:rsidR="00A27D2F" w:rsidRPr="00A27D2F">
        <w:rPr>
          <w:rFonts w:ascii="Garamond" w:hAnsi="Garamond"/>
          <w:highlight w:val="black"/>
        </w:rPr>
        <w:t>X</w:t>
      </w:r>
      <w:r w:rsidR="00D16F6E" w:rsidRPr="00A951C9">
        <w:rPr>
          <w:rFonts w:ascii="Garamond" w:hAnsi="Garamond"/>
        </w:rPr>
        <w:t xml:space="preserve"> with </w:t>
      </w:r>
      <w:r w:rsidR="00A27D2F" w:rsidRPr="00A27D2F">
        <w:rPr>
          <w:rFonts w:ascii="Garamond" w:hAnsi="Garamond"/>
          <w:highlight w:val="black"/>
        </w:rPr>
        <w:t>X</w:t>
      </w:r>
      <w:r w:rsidR="00D16F6E" w:rsidRPr="00A951C9">
        <w:rPr>
          <w:rFonts w:ascii="Garamond" w:hAnsi="Garamond"/>
        </w:rPr>
        <w:t xml:space="preserve"> of System RA </w:t>
      </w:r>
      <w:r w:rsidR="00D16F6E">
        <w:rPr>
          <w:rFonts w:ascii="Garamond" w:hAnsi="Garamond"/>
        </w:rPr>
        <w:t xml:space="preserve">and </w:t>
      </w:r>
      <w:r w:rsidR="00A74EF9" w:rsidRPr="00A951C9">
        <w:rPr>
          <w:rFonts w:ascii="Garamond" w:hAnsi="Garamond"/>
        </w:rPr>
        <w:t xml:space="preserve">updated the capacity for resources </w:t>
      </w:r>
      <w:r w:rsidR="00A27D2F" w:rsidRPr="00A27D2F">
        <w:rPr>
          <w:rFonts w:ascii="Garamond" w:hAnsi="Garamond"/>
          <w:highlight w:val="black"/>
        </w:rPr>
        <w:t>X</w:t>
      </w:r>
      <w:r w:rsidR="00A74EF9" w:rsidRPr="00A951C9">
        <w:rPr>
          <w:rFonts w:ascii="Garamond" w:hAnsi="Garamond"/>
        </w:rPr>
        <w:t>,</w:t>
      </w:r>
      <w:r w:rsidR="0046374F" w:rsidRPr="00A951C9">
        <w:rPr>
          <w:rFonts w:ascii="Garamond" w:hAnsi="Garamond"/>
        </w:rPr>
        <w:t xml:space="preserve"> </w:t>
      </w:r>
      <w:r w:rsidR="00A27D2F" w:rsidRPr="00A27D2F">
        <w:rPr>
          <w:rFonts w:ascii="Garamond" w:hAnsi="Garamond"/>
          <w:highlight w:val="black"/>
        </w:rPr>
        <w:t>X</w:t>
      </w:r>
      <w:r w:rsidR="0046374F" w:rsidRPr="00A951C9">
        <w:rPr>
          <w:rFonts w:ascii="Garamond" w:hAnsi="Garamond"/>
        </w:rPr>
        <w:t xml:space="preserve">, </w:t>
      </w:r>
      <w:r w:rsidR="00A27D2F" w:rsidRPr="00A27D2F">
        <w:rPr>
          <w:rFonts w:ascii="Garamond" w:hAnsi="Garamond"/>
          <w:highlight w:val="black"/>
        </w:rPr>
        <w:t>X</w:t>
      </w:r>
      <w:r w:rsidR="0046374F" w:rsidRPr="00A951C9">
        <w:rPr>
          <w:rFonts w:ascii="Garamond" w:hAnsi="Garamond"/>
        </w:rPr>
        <w:t xml:space="preserve">, </w:t>
      </w:r>
      <w:r w:rsidR="00EC4678" w:rsidRPr="00A951C9">
        <w:rPr>
          <w:rFonts w:ascii="Garamond" w:hAnsi="Garamond"/>
        </w:rPr>
        <w:t xml:space="preserve">and </w:t>
      </w:r>
      <w:r w:rsidR="00A27D2F" w:rsidRPr="00A27D2F">
        <w:rPr>
          <w:rFonts w:ascii="Garamond" w:hAnsi="Garamond"/>
          <w:highlight w:val="black"/>
        </w:rPr>
        <w:t>X</w:t>
      </w:r>
      <w:r w:rsidR="00A74EF9" w:rsidRPr="00A951C9">
        <w:rPr>
          <w:rFonts w:ascii="Garamond" w:hAnsi="Garamond"/>
        </w:rPr>
        <w:t xml:space="preserve"> to match its supply plan</w:t>
      </w:r>
      <w:r w:rsidR="00EC4678" w:rsidRPr="00A951C9">
        <w:rPr>
          <w:rFonts w:ascii="Garamond" w:hAnsi="Garamond"/>
        </w:rPr>
        <w:t>.</w:t>
      </w:r>
    </w:p>
  </w:footnote>
  <w:footnote w:id="5">
    <w:p w14:paraId="756B8910" w14:textId="3E4386A8" w:rsidR="005A0437" w:rsidRPr="00BA2FD2" w:rsidRDefault="005A0437" w:rsidP="005A0437">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w:t>
      </w:r>
      <w:r w:rsidR="004D78D5">
        <w:rPr>
          <w:rFonts w:ascii="Garamond" w:hAnsi="Garamond"/>
        </w:rPr>
        <w:t>CEA</w:t>
      </w:r>
      <w:r w:rsidRPr="00BA2FD2">
        <w:rPr>
          <w:rFonts w:ascii="Garamond" w:hAnsi="Garamond"/>
        </w:rPr>
        <w:t xml:space="preserve"> has a demand response allocation of </w:t>
      </w:r>
      <w:r w:rsidR="00A27D2F" w:rsidRPr="00A27D2F">
        <w:rPr>
          <w:rFonts w:ascii="Garamond" w:hAnsi="Garamond"/>
          <w:highlight w:val="black"/>
        </w:rPr>
        <w:t>X</w:t>
      </w:r>
      <w:r w:rsidRPr="00BA2FD2">
        <w:rPr>
          <w:rFonts w:ascii="Garamond" w:hAnsi="Garamond"/>
        </w:rPr>
        <w:t xml:space="preserve">.  </w:t>
      </w:r>
    </w:p>
  </w:footnote>
  <w:footnote w:id="6">
    <w:p w14:paraId="71E25A10" w14:textId="63D016F9" w:rsidR="0068008C" w:rsidRPr="00B403AE" w:rsidRDefault="0068008C" w:rsidP="0068008C">
      <w:pPr>
        <w:pStyle w:val="FootnoteText"/>
        <w:rPr>
          <w:rFonts w:ascii="Garamond" w:hAnsi="Garamond"/>
        </w:rPr>
      </w:pPr>
      <w:r w:rsidRPr="00B403AE">
        <w:rPr>
          <w:rStyle w:val="FootnoteReference"/>
          <w:rFonts w:ascii="Garamond" w:hAnsi="Garamond"/>
        </w:rPr>
        <w:footnoteRef/>
      </w:r>
      <w:r w:rsidRPr="00B403AE">
        <w:rPr>
          <w:rFonts w:ascii="Garamond" w:hAnsi="Garamond"/>
        </w:rPr>
        <w:t xml:space="preserve"> D.21-06-029, Ordering Paragraph (OP) 16, p. 79</w:t>
      </w:r>
      <w:r>
        <w:rPr>
          <w:rFonts w:ascii="Garamond" w:hAnsi="Garamond"/>
        </w:rPr>
        <w:t xml:space="preserve"> and D.23-06-029, OP 17, pp.141-142.</w:t>
      </w:r>
    </w:p>
  </w:footnote>
  <w:footnote w:id="7">
    <w:p w14:paraId="7B950B2E" w14:textId="77777777" w:rsidR="006E45A5" w:rsidRPr="00E73678" w:rsidRDefault="006E45A5" w:rsidP="006E45A5">
      <w:pPr>
        <w:pStyle w:val="FootnoteText"/>
        <w:rPr>
          <w:rFonts w:ascii="Garamond" w:hAnsi="Garamond"/>
        </w:rPr>
      </w:pPr>
      <w:r w:rsidRPr="00E73678">
        <w:rPr>
          <w:rStyle w:val="FootnoteReference"/>
          <w:rFonts w:ascii="Garamond" w:hAnsi="Garamond"/>
        </w:rPr>
        <w:footnoteRef/>
      </w:r>
      <w:r w:rsidRPr="00E73678">
        <w:rPr>
          <w:rFonts w:ascii="Garamond" w:hAnsi="Garamond"/>
        </w:rPr>
        <w:t xml:space="preserve"> D.23-0</w:t>
      </w:r>
      <w:r>
        <w:rPr>
          <w:rFonts w:ascii="Garamond" w:hAnsi="Garamond"/>
        </w:rPr>
        <w:t>6-029, OP 17, pp. 141-142.</w:t>
      </w:r>
    </w:p>
  </w:footnote>
  <w:footnote w:id="8">
    <w:p w14:paraId="0312A818" w14:textId="77777777" w:rsidR="006E45A5" w:rsidRPr="00E73678" w:rsidRDefault="006E45A5" w:rsidP="006E45A5">
      <w:pPr>
        <w:pStyle w:val="FootnoteText"/>
        <w:rPr>
          <w:rFonts w:ascii="Garamond" w:hAnsi="Garamond"/>
        </w:rPr>
      </w:pPr>
      <w:r w:rsidRPr="00E73678">
        <w:rPr>
          <w:rStyle w:val="FootnoteReference"/>
          <w:rFonts w:ascii="Garamond" w:hAnsi="Garamond"/>
        </w:rPr>
        <w:footnoteRef/>
      </w:r>
      <w:r w:rsidRPr="00E73678">
        <w:rPr>
          <w:rFonts w:ascii="Garamond" w:hAnsi="Garamond"/>
        </w:rPr>
        <w:t xml:space="preserve"> D.23-0</w:t>
      </w:r>
      <w:r>
        <w:rPr>
          <w:rFonts w:ascii="Garamond" w:hAnsi="Garamond"/>
        </w:rPr>
        <w:t>6-029, OP 18, p. 142.</w:t>
      </w:r>
    </w:p>
  </w:footnote>
  <w:footnote w:id="9">
    <w:p w14:paraId="69E57319" w14:textId="430D75C4" w:rsidR="007479E9" w:rsidRPr="00B403AE" w:rsidRDefault="007479E9">
      <w:pPr>
        <w:pStyle w:val="FootnoteText"/>
        <w:rPr>
          <w:rFonts w:ascii="Garamond" w:hAnsi="Garamond"/>
        </w:rPr>
      </w:pPr>
      <w:r w:rsidRPr="00B403AE">
        <w:rPr>
          <w:rStyle w:val="FootnoteReference"/>
          <w:rFonts w:ascii="Garamond" w:hAnsi="Garamond"/>
        </w:rPr>
        <w:footnoteRef/>
      </w:r>
      <w:r w:rsidRPr="00B403AE">
        <w:rPr>
          <w:rFonts w:ascii="Garamond" w:hAnsi="Garamond"/>
        </w:rPr>
        <w:t xml:space="preserve"> </w:t>
      </w:r>
      <w:r w:rsidR="0087182E" w:rsidRPr="00B403AE">
        <w:rPr>
          <w:rFonts w:ascii="Garamond" w:hAnsi="Garamond"/>
        </w:rPr>
        <w:t>The Commission received payment for Citation E-4195-0162 on April 8, 2024.</w:t>
      </w:r>
    </w:p>
  </w:footnote>
  <w:footnote w:id="10">
    <w:p w14:paraId="08844E19" w14:textId="1A6F7073" w:rsidR="00FE7355" w:rsidRPr="00BA2FD2" w:rsidRDefault="00FE7355" w:rsidP="00FE7355">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D.11-06-022, OP 6, p. 72</w:t>
      </w:r>
    </w:p>
  </w:footnote>
  <w:footnote w:id="11">
    <w:p w14:paraId="67141AB5" w14:textId="69C64361" w:rsidR="00BA2486" w:rsidRDefault="00BA2486">
      <w:pPr>
        <w:pStyle w:val="FootnoteText"/>
      </w:pPr>
      <w:r w:rsidRPr="00B403AE">
        <w:rPr>
          <w:rStyle w:val="FootnoteReference"/>
          <w:rFonts w:ascii="Garamond" w:hAnsi="Garamond"/>
        </w:rPr>
        <w:footnoteRef/>
      </w:r>
      <w:r w:rsidRPr="00B403AE">
        <w:rPr>
          <w:rFonts w:ascii="Garamond" w:hAnsi="Garamond"/>
        </w:rPr>
        <w:t xml:space="preserve"> </w:t>
      </w:r>
      <w:r w:rsidR="00B403AE" w:rsidRPr="00B403AE">
        <w:rPr>
          <w:rFonts w:ascii="Garamond" w:hAnsi="Garamond"/>
        </w:rPr>
        <w:t>D.20-06-031, OP 20, p. 96</w:t>
      </w:r>
    </w:p>
  </w:footnote>
  <w:footnote w:id="12">
    <w:p w14:paraId="014563A4" w14:textId="725A7B88" w:rsidR="008455C6" w:rsidRPr="00EC4678" w:rsidRDefault="008455C6" w:rsidP="008455C6">
      <w:pPr>
        <w:pStyle w:val="FootnoteText"/>
        <w:rPr>
          <w:rFonts w:ascii="Garamond" w:hAnsi="Garamond"/>
        </w:rPr>
      </w:pPr>
      <w:r w:rsidRPr="00EC4678">
        <w:rPr>
          <w:rStyle w:val="FootnoteReference"/>
          <w:rFonts w:ascii="Garamond" w:hAnsi="Garamond"/>
        </w:rPr>
        <w:footnoteRef/>
      </w:r>
      <w:r w:rsidRPr="00EC4678">
        <w:rPr>
          <w:rFonts w:ascii="Garamond" w:hAnsi="Garamond"/>
        </w:rPr>
        <w:t xml:space="preserve"> </w:t>
      </w:r>
      <w:r w:rsidR="00A27D2F" w:rsidRPr="00A27D2F">
        <w:rPr>
          <w:rFonts w:ascii="Garamond" w:hAnsi="Garamond"/>
          <w:highlight w:val="black"/>
        </w:rPr>
        <w:t>X</w:t>
      </w:r>
      <w:r w:rsidRPr="00EC4678">
        <w:rPr>
          <w:rFonts w:ascii="Garamond" w:hAnsi="Garamond"/>
        </w:rPr>
        <w:t xml:space="preserve"> is confirmed for </w:t>
      </w:r>
      <w:r w:rsidR="00A27D2F" w:rsidRPr="00A27D2F">
        <w:rPr>
          <w:rFonts w:ascii="Garamond" w:hAnsi="Garamond"/>
          <w:highlight w:val="black"/>
        </w:rPr>
        <w:t>X</w:t>
      </w:r>
      <w:r>
        <w:rPr>
          <w:rFonts w:ascii="Garamond" w:hAnsi="Garamond"/>
        </w:rPr>
        <w:t xml:space="preserve">, </w:t>
      </w:r>
      <w:r w:rsidR="00A27D2F" w:rsidRPr="00A27D2F">
        <w:rPr>
          <w:rFonts w:ascii="Garamond" w:hAnsi="Garamond"/>
          <w:highlight w:val="black"/>
        </w:rPr>
        <w:t>X</w:t>
      </w:r>
      <w:r w:rsidRPr="00EC4678">
        <w:rPr>
          <w:rFonts w:ascii="Garamond" w:hAnsi="Garamond"/>
        </w:rPr>
        <w:t xml:space="preserve"> is confirmed for </w:t>
      </w:r>
      <w:r w:rsidR="00A27D2F" w:rsidRPr="00A27D2F">
        <w:rPr>
          <w:rFonts w:ascii="Garamond" w:hAnsi="Garamond"/>
          <w:highlight w:val="black"/>
        </w:rPr>
        <w:t>X</w:t>
      </w:r>
      <w:r>
        <w:rPr>
          <w:rFonts w:ascii="Garamond" w:hAnsi="Garamond"/>
        </w:rPr>
        <w:t xml:space="preserve">, </w:t>
      </w:r>
      <w:r w:rsidR="00F72862">
        <w:rPr>
          <w:rFonts w:ascii="Garamond" w:hAnsi="Garamond"/>
        </w:rPr>
        <w:t xml:space="preserve">and </w:t>
      </w:r>
      <w:r w:rsidR="00A27D2F" w:rsidRPr="00A27D2F">
        <w:rPr>
          <w:rFonts w:ascii="Garamond" w:hAnsi="Garamond"/>
          <w:highlight w:val="black"/>
        </w:rPr>
        <w:t>X</w:t>
      </w:r>
      <w:r w:rsidRPr="00EC4678">
        <w:rPr>
          <w:rFonts w:ascii="Garamond" w:hAnsi="Garamond"/>
        </w:rPr>
        <w:t xml:space="preserve"> is confirmed for </w:t>
      </w:r>
      <w:r w:rsidR="00A27D2F" w:rsidRPr="00A27D2F">
        <w:rPr>
          <w:rFonts w:ascii="Garamond" w:hAnsi="Garamond"/>
          <w:highlight w:val="black"/>
        </w:rPr>
        <w:t>X</w:t>
      </w:r>
      <w:r w:rsidRPr="00EC4678">
        <w:rPr>
          <w:rFonts w:ascii="Garamond" w:hAnsi="Garamond"/>
        </w:rPr>
        <w:t xml:space="preserve"> </w:t>
      </w:r>
      <w:r>
        <w:rPr>
          <w:rFonts w:ascii="Garamond" w:hAnsi="Garamond"/>
        </w:rPr>
        <w:t xml:space="preserve">of </w:t>
      </w:r>
      <w:r w:rsidR="00937268">
        <w:rPr>
          <w:rFonts w:ascii="Garamond" w:hAnsi="Garamond"/>
        </w:rPr>
        <w:t>S</w:t>
      </w:r>
      <w:r w:rsidRPr="00EC4678">
        <w:rPr>
          <w:rFonts w:ascii="Garamond" w:hAnsi="Garamond"/>
        </w:rPr>
        <w:t xml:space="preserve">ystem </w:t>
      </w:r>
      <w:r>
        <w:rPr>
          <w:rFonts w:ascii="Garamond" w:hAnsi="Garamond"/>
        </w:rPr>
        <w:t>RA</w:t>
      </w:r>
      <w:r w:rsidRPr="00EC4678">
        <w:rPr>
          <w:rFonts w:ascii="Garamond" w:hAnsi="Garamond"/>
        </w:rPr>
        <w:t xml:space="preserve"> in </w:t>
      </w:r>
      <w:r>
        <w:rPr>
          <w:rFonts w:ascii="Garamond" w:hAnsi="Garamond"/>
        </w:rPr>
        <w:t>CEA’s</w:t>
      </w:r>
      <w:r w:rsidRPr="00EC4678">
        <w:rPr>
          <w:rFonts w:ascii="Garamond" w:hAnsi="Garamond"/>
        </w:rPr>
        <w:t xml:space="preserve"> supply plan.</w:t>
      </w:r>
    </w:p>
  </w:footnote>
  <w:footnote w:id="13">
    <w:p w14:paraId="03582E49" w14:textId="601329D9" w:rsidR="00F72862" w:rsidRPr="00EC4678" w:rsidRDefault="00F72862" w:rsidP="00F72862">
      <w:pPr>
        <w:pStyle w:val="FootnoteText"/>
        <w:rPr>
          <w:rFonts w:ascii="Garamond" w:hAnsi="Garamond"/>
        </w:rPr>
      </w:pPr>
      <w:r w:rsidRPr="00EC4678">
        <w:rPr>
          <w:rStyle w:val="FootnoteReference"/>
          <w:rFonts w:ascii="Garamond" w:hAnsi="Garamond"/>
        </w:rPr>
        <w:footnoteRef/>
      </w:r>
      <w:r w:rsidRPr="00EC4678">
        <w:rPr>
          <w:rFonts w:ascii="Garamond" w:hAnsi="Garamond"/>
        </w:rPr>
        <w:t xml:space="preserve"> </w:t>
      </w:r>
      <w:r w:rsidR="00A27D2F" w:rsidRPr="00A27D2F">
        <w:rPr>
          <w:rFonts w:ascii="Garamond" w:hAnsi="Garamond"/>
          <w:highlight w:val="black"/>
        </w:rPr>
        <w:t>X</w:t>
      </w:r>
      <w:r w:rsidRPr="00EC4678">
        <w:rPr>
          <w:rFonts w:ascii="Garamond" w:hAnsi="Garamond"/>
        </w:rPr>
        <w:t xml:space="preserve"> is confirmed for </w:t>
      </w:r>
      <w:r w:rsidR="00A27D2F" w:rsidRPr="00A27D2F">
        <w:rPr>
          <w:rFonts w:ascii="Garamond" w:hAnsi="Garamond"/>
          <w:highlight w:val="black"/>
        </w:rPr>
        <w:t>X</w:t>
      </w:r>
      <w:r w:rsidRPr="00EC4678">
        <w:rPr>
          <w:rFonts w:ascii="Garamond" w:hAnsi="Garamond"/>
        </w:rPr>
        <w:t xml:space="preserve"> </w:t>
      </w:r>
      <w:r>
        <w:rPr>
          <w:rFonts w:ascii="Garamond" w:hAnsi="Garamond"/>
        </w:rPr>
        <w:t>of category 1 flexible RA</w:t>
      </w:r>
      <w:r w:rsidRPr="00EC4678">
        <w:rPr>
          <w:rFonts w:ascii="Garamond" w:hAnsi="Garamond"/>
        </w:rPr>
        <w:t xml:space="preserve"> in </w:t>
      </w:r>
      <w:r>
        <w:rPr>
          <w:rFonts w:ascii="Garamond" w:hAnsi="Garamond"/>
        </w:rPr>
        <w:t>CEA’s</w:t>
      </w:r>
      <w:r w:rsidRPr="00EC4678">
        <w:rPr>
          <w:rFonts w:ascii="Garamond" w:hAnsi="Garamond"/>
        </w:rPr>
        <w:t xml:space="preserve"> supply plan.</w:t>
      </w:r>
    </w:p>
  </w:footnote>
  <w:footnote w:id="14">
    <w:p w14:paraId="1EAD3B82" w14:textId="7AE5CC2C" w:rsidR="0080076F" w:rsidRDefault="0080076F" w:rsidP="0080076F">
      <w:pPr>
        <w:pStyle w:val="FootnoteText"/>
      </w:pPr>
      <w:r>
        <w:rPr>
          <w:rStyle w:val="FootnoteReference"/>
        </w:rPr>
        <w:footnoteRef/>
      </w:r>
      <w:r>
        <w:t xml:space="preserve"> </w:t>
      </w:r>
      <w:r>
        <w:rPr>
          <w:rFonts w:ascii="Garamond" w:hAnsi="Garamond"/>
        </w:rPr>
        <w:t>CEA</w:t>
      </w:r>
      <w:r w:rsidRPr="00BA2FD2">
        <w:rPr>
          <w:rFonts w:ascii="Garamond" w:hAnsi="Garamond"/>
        </w:rPr>
        <w:t xml:space="preserve"> has a demand response allocation of </w:t>
      </w:r>
      <w:r w:rsidR="00A27D2F" w:rsidRPr="00A27D2F">
        <w:rPr>
          <w:rFonts w:ascii="Garamond" w:hAnsi="Garamond"/>
          <w:highlight w:val="black"/>
        </w:rPr>
        <w:t>X</w:t>
      </w:r>
      <w:r w:rsidRPr="00BA2FD2">
        <w:rPr>
          <w:rFonts w:ascii="Garamond" w:hAnsi="Garamond"/>
        </w:rPr>
        <w:t>.</w:t>
      </w:r>
    </w:p>
  </w:footnote>
  <w:footnote w:id="15">
    <w:p w14:paraId="367D38D6" w14:textId="08D5E6FA" w:rsidR="00F0000A" w:rsidRDefault="00F0000A" w:rsidP="00F0000A">
      <w:pPr>
        <w:pStyle w:val="FootnoteText"/>
      </w:pPr>
      <w:r w:rsidRPr="00A951C9">
        <w:rPr>
          <w:rStyle w:val="FootnoteReference"/>
          <w:rFonts w:ascii="Garamond" w:hAnsi="Garamond"/>
        </w:rPr>
        <w:footnoteRef/>
      </w:r>
      <w:r w:rsidRPr="00A951C9">
        <w:rPr>
          <w:rFonts w:ascii="Garamond" w:hAnsi="Garamond"/>
        </w:rPr>
        <w:t xml:space="preserve"> CEA’s August 2, </w:t>
      </w:r>
      <w:proofErr w:type="gramStart"/>
      <w:r w:rsidRPr="00A951C9">
        <w:rPr>
          <w:rFonts w:ascii="Garamond" w:hAnsi="Garamond"/>
        </w:rPr>
        <w:t>2024</w:t>
      </w:r>
      <w:proofErr w:type="gramEnd"/>
      <w:r w:rsidRPr="00A951C9">
        <w:rPr>
          <w:rFonts w:ascii="Garamond" w:hAnsi="Garamond"/>
        </w:rPr>
        <w:t xml:space="preserve"> revised filing added resource </w:t>
      </w:r>
      <w:r w:rsidR="00A27D2F" w:rsidRPr="00A27D2F">
        <w:rPr>
          <w:rFonts w:ascii="Garamond" w:hAnsi="Garamond"/>
          <w:highlight w:val="black"/>
        </w:rPr>
        <w:t>X</w:t>
      </w:r>
      <w:r w:rsidRPr="00A951C9">
        <w:rPr>
          <w:rFonts w:ascii="Garamond" w:hAnsi="Garamond"/>
        </w:rPr>
        <w:t xml:space="preserve"> with </w:t>
      </w:r>
      <w:r w:rsidR="00A27D2F" w:rsidRPr="00A27D2F">
        <w:rPr>
          <w:rFonts w:ascii="Garamond" w:hAnsi="Garamond"/>
          <w:highlight w:val="black"/>
        </w:rPr>
        <w:t>X</w:t>
      </w:r>
      <w:r w:rsidRPr="00A951C9">
        <w:rPr>
          <w:rFonts w:ascii="Garamond" w:hAnsi="Garamond"/>
        </w:rPr>
        <w:t xml:space="preserve"> of System RA </w:t>
      </w:r>
      <w:r>
        <w:rPr>
          <w:rFonts w:ascii="Garamond" w:hAnsi="Garamond"/>
        </w:rPr>
        <w:t xml:space="preserve">and </w:t>
      </w:r>
      <w:r w:rsidRPr="00A951C9">
        <w:rPr>
          <w:rFonts w:ascii="Garamond" w:hAnsi="Garamond"/>
        </w:rPr>
        <w:t xml:space="preserve">updated the capacity for resources </w:t>
      </w:r>
      <w:r w:rsidR="00A27D2F" w:rsidRPr="00A27D2F">
        <w:rPr>
          <w:rFonts w:ascii="Garamond" w:hAnsi="Garamond"/>
          <w:highlight w:val="black"/>
        </w:rPr>
        <w:t>X</w:t>
      </w:r>
      <w:r w:rsidRPr="00A951C9">
        <w:rPr>
          <w:rFonts w:ascii="Garamond" w:hAnsi="Garamond"/>
        </w:rPr>
        <w:t xml:space="preserve">, </w:t>
      </w:r>
      <w:r w:rsidR="00A27D2F" w:rsidRPr="00A27D2F">
        <w:rPr>
          <w:rFonts w:ascii="Garamond" w:hAnsi="Garamond"/>
          <w:highlight w:val="black"/>
        </w:rPr>
        <w:t>X</w:t>
      </w:r>
      <w:r w:rsidRPr="00A951C9">
        <w:rPr>
          <w:rFonts w:ascii="Garamond" w:hAnsi="Garamond"/>
        </w:rPr>
        <w:t xml:space="preserve">, </w:t>
      </w:r>
      <w:r w:rsidR="00A27D2F" w:rsidRPr="00A27D2F">
        <w:rPr>
          <w:rFonts w:ascii="Garamond" w:hAnsi="Garamond"/>
          <w:highlight w:val="black"/>
        </w:rPr>
        <w:t>X</w:t>
      </w:r>
      <w:r w:rsidRPr="00A951C9">
        <w:rPr>
          <w:rFonts w:ascii="Garamond" w:hAnsi="Garamond"/>
        </w:rPr>
        <w:t xml:space="preserve">, and </w:t>
      </w:r>
      <w:r w:rsidR="00A27D2F" w:rsidRPr="00A27D2F">
        <w:rPr>
          <w:rFonts w:ascii="Garamond" w:hAnsi="Garamond"/>
          <w:highlight w:val="black"/>
        </w:rPr>
        <w:t>X</w:t>
      </w:r>
      <w:r w:rsidRPr="00A951C9">
        <w:rPr>
          <w:rFonts w:ascii="Garamond" w:hAnsi="Garamond"/>
        </w:rPr>
        <w:t xml:space="preserve"> to match its supply plan.</w:t>
      </w:r>
    </w:p>
  </w:footnote>
  <w:footnote w:id="16">
    <w:p w14:paraId="3CA11CFE" w14:textId="77777777" w:rsidR="00BF3A0B" w:rsidRPr="00B403AE" w:rsidRDefault="00BF3A0B" w:rsidP="00BF3A0B">
      <w:pPr>
        <w:pStyle w:val="FootnoteText"/>
        <w:rPr>
          <w:rFonts w:ascii="Garamond" w:hAnsi="Garamond"/>
        </w:rPr>
      </w:pPr>
      <w:r w:rsidRPr="00B403AE">
        <w:rPr>
          <w:rStyle w:val="FootnoteReference"/>
          <w:rFonts w:ascii="Garamond" w:hAnsi="Garamond"/>
        </w:rPr>
        <w:footnoteRef/>
      </w:r>
      <w:r w:rsidRPr="00B403AE">
        <w:rPr>
          <w:rFonts w:ascii="Garamond" w:hAnsi="Garamond"/>
        </w:rPr>
        <w:t xml:space="preserve"> The Commission received payment for Citation E-4195-0162 on April 8, 2024.</w:t>
      </w:r>
    </w:p>
  </w:footnote>
  <w:footnote w:id="17">
    <w:p w14:paraId="0540761D" w14:textId="19360EC6" w:rsidR="006A6653" w:rsidRDefault="006A6653">
      <w:pPr>
        <w:pStyle w:val="FootnoteText"/>
      </w:pPr>
      <w:r>
        <w:rPr>
          <w:rStyle w:val="FootnoteReference"/>
        </w:rPr>
        <w:footnoteRef/>
      </w:r>
      <w:r>
        <w:t xml:space="preserve"> </w:t>
      </w:r>
      <w:r w:rsidRPr="00310332">
        <w:rPr>
          <w:rFonts w:ascii="Garamond" w:hAnsi="Garamond"/>
        </w:rPr>
        <w:t>D.21-06-029, OP 16, p. 79.</w:t>
      </w:r>
    </w:p>
  </w:footnote>
  <w:footnote w:id="18">
    <w:p w14:paraId="5C492CE0" w14:textId="77777777" w:rsidR="00277D76" w:rsidRPr="00B403AE" w:rsidRDefault="00277D76" w:rsidP="00277D76">
      <w:pPr>
        <w:pStyle w:val="FootnoteText"/>
        <w:rPr>
          <w:rFonts w:ascii="Garamond" w:hAnsi="Garamond"/>
        </w:rPr>
      </w:pPr>
      <w:r w:rsidRPr="00B403AE">
        <w:rPr>
          <w:rStyle w:val="FootnoteReference"/>
          <w:rFonts w:ascii="Garamond" w:hAnsi="Garamond"/>
        </w:rPr>
        <w:footnoteRef/>
      </w:r>
      <w:r w:rsidRPr="00B403AE">
        <w:rPr>
          <w:rFonts w:ascii="Garamond" w:hAnsi="Garamond"/>
        </w:rPr>
        <w:t xml:space="preserve"> D.21-06-029, Ordering Paragraph (OP) 16, p. 79</w:t>
      </w:r>
      <w:r>
        <w:rPr>
          <w:rFonts w:ascii="Garamond" w:hAnsi="Garamond"/>
        </w:rPr>
        <w:t xml:space="preserve"> and D.23-06-029, OP 17, pp.141-142.</w:t>
      </w:r>
    </w:p>
  </w:footnote>
  <w:footnote w:id="19">
    <w:p w14:paraId="01EA2D18" w14:textId="77777777" w:rsidR="00E73678" w:rsidRPr="00E73678" w:rsidRDefault="00E73678" w:rsidP="00E73678">
      <w:pPr>
        <w:pStyle w:val="FootnoteText"/>
        <w:rPr>
          <w:rFonts w:ascii="Garamond" w:hAnsi="Garamond"/>
        </w:rPr>
      </w:pPr>
      <w:r w:rsidRPr="00E73678">
        <w:rPr>
          <w:rStyle w:val="FootnoteReference"/>
          <w:rFonts w:ascii="Garamond" w:hAnsi="Garamond"/>
        </w:rPr>
        <w:footnoteRef/>
      </w:r>
      <w:r w:rsidRPr="00E73678">
        <w:rPr>
          <w:rFonts w:ascii="Garamond" w:hAnsi="Garamond"/>
        </w:rPr>
        <w:t xml:space="preserve"> D.23-0</w:t>
      </w:r>
      <w:r>
        <w:rPr>
          <w:rFonts w:ascii="Garamond" w:hAnsi="Garamond"/>
        </w:rPr>
        <w:t>6-029, OP 17, pp. 141-142.</w:t>
      </w:r>
    </w:p>
  </w:footnote>
  <w:footnote w:id="20">
    <w:p w14:paraId="01B2A6E4" w14:textId="38F1CF5E" w:rsidR="00E73678" w:rsidRPr="00E73678" w:rsidRDefault="00E73678" w:rsidP="00E73678">
      <w:pPr>
        <w:pStyle w:val="FootnoteText"/>
        <w:rPr>
          <w:rFonts w:ascii="Garamond" w:hAnsi="Garamond"/>
        </w:rPr>
      </w:pPr>
      <w:r w:rsidRPr="00E73678">
        <w:rPr>
          <w:rStyle w:val="FootnoteReference"/>
          <w:rFonts w:ascii="Garamond" w:hAnsi="Garamond"/>
        </w:rPr>
        <w:footnoteRef/>
      </w:r>
      <w:r w:rsidRPr="00E73678">
        <w:rPr>
          <w:rFonts w:ascii="Garamond" w:hAnsi="Garamond"/>
        </w:rPr>
        <w:t xml:space="preserve"> D.23-0</w:t>
      </w:r>
      <w:r>
        <w:rPr>
          <w:rFonts w:ascii="Garamond" w:hAnsi="Garamond"/>
        </w:rPr>
        <w:t>6-029, OP 18, p. 142.</w:t>
      </w:r>
    </w:p>
  </w:footnote>
  <w:footnote w:id="21">
    <w:p w14:paraId="58285C0D" w14:textId="77777777" w:rsidR="00224C7B" w:rsidRPr="00BA2FD2" w:rsidRDefault="00224C7B" w:rsidP="00224C7B">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D.11-06-022, OP 6, p. 72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9462BD1"/>
    <w:multiLevelType w:val="hybridMultilevel"/>
    <w:tmpl w:val="3C389230"/>
    <w:lvl w:ilvl="0" w:tplc="865257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8"/>
  </w:num>
  <w:num w:numId="5" w16cid:durableId="773330461">
    <w:abstractNumId w:val="4"/>
  </w:num>
  <w:num w:numId="6" w16cid:durableId="1135224094">
    <w:abstractNumId w:val="9"/>
  </w:num>
  <w:num w:numId="7" w16cid:durableId="1198276239">
    <w:abstractNumId w:val="10"/>
  </w:num>
  <w:num w:numId="8" w16cid:durableId="1221594922">
    <w:abstractNumId w:val="1"/>
  </w:num>
  <w:num w:numId="9" w16cid:durableId="767195641">
    <w:abstractNumId w:val="6"/>
  </w:num>
  <w:num w:numId="10" w16cid:durableId="849024986">
    <w:abstractNumId w:val="0"/>
  </w:num>
  <w:num w:numId="11" w16cid:durableId="18869872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6BEB"/>
    <w:rsid w:val="0002491B"/>
    <w:rsid w:val="00025D3E"/>
    <w:rsid w:val="00034E37"/>
    <w:rsid w:val="0004115D"/>
    <w:rsid w:val="00041318"/>
    <w:rsid w:val="00045DEE"/>
    <w:rsid w:val="00056719"/>
    <w:rsid w:val="00061D75"/>
    <w:rsid w:val="00067A96"/>
    <w:rsid w:val="00085912"/>
    <w:rsid w:val="00087928"/>
    <w:rsid w:val="00095572"/>
    <w:rsid w:val="000A0208"/>
    <w:rsid w:val="000B4931"/>
    <w:rsid w:val="000D3169"/>
    <w:rsid w:val="000E60E9"/>
    <w:rsid w:val="000E7E39"/>
    <w:rsid w:val="0010372E"/>
    <w:rsid w:val="00104124"/>
    <w:rsid w:val="0010784E"/>
    <w:rsid w:val="00112D42"/>
    <w:rsid w:val="00116D48"/>
    <w:rsid w:val="00146791"/>
    <w:rsid w:val="00154430"/>
    <w:rsid w:val="00157E2C"/>
    <w:rsid w:val="00163BC8"/>
    <w:rsid w:val="001643A8"/>
    <w:rsid w:val="00170542"/>
    <w:rsid w:val="00180FFB"/>
    <w:rsid w:val="001901F6"/>
    <w:rsid w:val="0019189B"/>
    <w:rsid w:val="001C0C51"/>
    <w:rsid w:val="001C326D"/>
    <w:rsid w:val="001C5865"/>
    <w:rsid w:val="001C78B9"/>
    <w:rsid w:val="001D0E2E"/>
    <w:rsid w:val="001D4BF7"/>
    <w:rsid w:val="001D712D"/>
    <w:rsid w:val="001E61B8"/>
    <w:rsid w:val="001E7895"/>
    <w:rsid w:val="001F25F3"/>
    <w:rsid w:val="00203C14"/>
    <w:rsid w:val="00204864"/>
    <w:rsid w:val="00206011"/>
    <w:rsid w:val="00206401"/>
    <w:rsid w:val="00224C7B"/>
    <w:rsid w:val="0024151B"/>
    <w:rsid w:val="00247DAC"/>
    <w:rsid w:val="002511EC"/>
    <w:rsid w:val="0026038E"/>
    <w:rsid w:val="00273A8F"/>
    <w:rsid w:val="00275856"/>
    <w:rsid w:val="00277D76"/>
    <w:rsid w:val="002845C8"/>
    <w:rsid w:val="002978F9"/>
    <w:rsid w:val="002D5706"/>
    <w:rsid w:val="002E779D"/>
    <w:rsid w:val="002F5739"/>
    <w:rsid w:val="00304309"/>
    <w:rsid w:val="00306471"/>
    <w:rsid w:val="00310332"/>
    <w:rsid w:val="003419A0"/>
    <w:rsid w:val="00347912"/>
    <w:rsid w:val="00351C3B"/>
    <w:rsid w:val="0039214C"/>
    <w:rsid w:val="003941C1"/>
    <w:rsid w:val="00394224"/>
    <w:rsid w:val="003A183A"/>
    <w:rsid w:val="003B022C"/>
    <w:rsid w:val="003B419F"/>
    <w:rsid w:val="003E03C5"/>
    <w:rsid w:val="003E40CB"/>
    <w:rsid w:val="00400B8F"/>
    <w:rsid w:val="00410CA5"/>
    <w:rsid w:val="00422681"/>
    <w:rsid w:val="00423CA2"/>
    <w:rsid w:val="00430BB8"/>
    <w:rsid w:val="004343F8"/>
    <w:rsid w:val="00436980"/>
    <w:rsid w:val="00462AC5"/>
    <w:rsid w:val="004636D1"/>
    <w:rsid w:val="0046374F"/>
    <w:rsid w:val="0046778F"/>
    <w:rsid w:val="00482BD5"/>
    <w:rsid w:val="00491312"/>
    <w:rsid w:val="004940AE"/>
    <w:rsid w:val="004978BF"/>
    <w:rsid w:val="004D2D25"/>
    <w:rsid w:val="004D3124"/>
    <w:rsid w:val="004D78D5"/>
    <w:rsid w:val="004F0830"/>
    <w:rsid w:val="00504212"/>
    <w:rsid w:val="00516245"/>
    <w:rsid w:val="005217CE"/>
    <w:rsid w:val="00521E95"/>
    <w:rsid w:val="00522CEF"/>
    <w:rsid w:val="00530585"/>
    <w:rsid w:val="00535E59"/>
    <w:rsid w:val="005378DC"/>
    <w:rsid w:val="00537E20"/>
    <w:rsid w:val="0054451E"/>
    <w:rsid w:val="00544B53"/>
    <w:rsid w:val="005601D3"/>
    <w:rsid w:val="00581D67"/>
    <w:rsid w:val="005827C0"/>
    <w:rsid w:val="00592A30"/>
    <w:rsid w:val="00594C56"/>
    <w:rsid w:val="005A0437"/>
    <w:rsid w:val="005A570D"/>
    <w:rsid w:val="005B1126"/>
    <w:rsid w:val="005E55CE"/>
    <w:rsid w:val="005F3208"/>
    <w:rsid w:val="00614C6B"/>
    <w:rsid w:val="006224FE"/>
    <w:rsid w:val="006245EB"/>
    <w:rsid w:val="00632085"/>
    <w:rsid w:val="00652417"/>
    <w:rsid w:val="00657F52"/>
    <w:rsid w:val="00667560"/>
    <w:rsid w:val="00667E75"/>
    <w:rsid w:val="00670A14"/>
    <w:rsid w:val="006721D6"/>
    <w:rsid w:val="0067698F"/>
    <w:rsid w:val="0068008C"/>
    <w:rsid w:val="0068318A"/>
    <w:rsid w:val="00691F50"/>
    <w:rsid w:val="006923AD"/>
    <w:rsid w:val="00697205"/>
    <w:rsid w:val="006A192C"/>
    <w:rsid w:val="006A2254"/>
    <w:rsid w:val="006A25C8"/>
    <w:rsid w:val="006A6653"/>
    <w:rsid w:val="006B1CAB"/>
    <w:rsid w:val="006B27D5"/>
    <w:rsid w:val="006C5AF4"/>
    <w:rsid w:val="006C6E72"/>
    <w:rsid w:val="006E45A5"/>
    <w:rsid w:val="00702E9E"/>
    <w:rsid w:val="007066E4"/>
    <w:rsid w:val="0072659E"/>
    <w:rsid w:val="00737F7A"/>
    <w:rsid w:val="007422A4"/>
    <w:rsid w:val="007479E9"/>
    <w:rsid w:val="00753655"/>
    <w:rsid w:val="00756CF8"/>
    <w:rsid w:val="0077064F"/>
    <w:rsid w:val="007721EC"/>
    <w:rsid w:val="007A1781"/>
    <w:rsid w:val="007C1DD7"/>
    <w:rsid w:val="007C5E86"/>
    <w:rsid w:val="007C7342"/>
    <w:rsid w:val="007E1C2A"/>
    <w:rsid w:val="007E2C99"/>
    <w:rsid w:val="007F53EE"/>
    <w:rsid w:val="007F7BB8"/>
    <w:rsid w:val="00800007"/>
    <w:rsid w:val="0080076F"/>
    <w:rsid w:val="00823BD0"/>
    <w:rsid w:val="00826FB7"/>
    <w:rsid w:val="00834C2C"/>
    <w:rsid w:val="008455C6"/>
    <w:rsid w:val="0087182E"/>
    <w:rsid w:val="00872490"/>
    <w:rsid w:val="00873846"/>
    <w:rsid w:val="00880794"/>
    <w:rsid w:val="00881644"/>
    <w:rsid w:val="008A0B22"/>
    <w:rsid w:val="008B084F"/>
    <w:rsid w:val="008B1451"/>
    <w:rsid w:val="008F0156"/>
    <w:rsid w:val="00901390"/>
    <w:rsid w:val="0091106D"/>
    <w:rsid w:val="009318DB"/>
    <w:rsid w:val="00932A0A"/>
    <w:rsid w:val="00932BEC"/>
    <w:rsid w:val="00937268"/>
    <w:rsid w:val="00942510"/>
    <w:rsid w:val="009428B3"/>
    <w:rsid w:val="009728B5"/>
    <w:rsid w:val="0097553E"/>
    <w:rsid w:val="00982B04"/>
    <w:rsid w:val="0098481B"/>
    <w:rsid w:val="00997967"/>
    <w:rsid w:val="009B2F46"/>
    <w:rsid w:val="009D74F7"/>
    <w:rsid w:val="009E2EA4"/>
    <w:rsid w:val="009E375C"/>
    <w:rsid w:val="009F3F17"/>
    <w:rsid w:val="009F5E90"/>
    <w:rsid w:val="00A03E21"/>
    <w:rsid w:val="00A21640"/>
    <w:rsid w:val="00A26C4B"/>
    <w:rsid w:val="00A27D2F"/>
    <w:rsid w:val="00A359D8"/>
    <w:rsid w:val="00A5237C"/>
    <w:rsid w:val="00A54930"/>
    <w:rsid w:val="00A74EF9"/>
    <w:rsid w:val="00A825E9"/>
    <w:rsid w:val="00A84072"/>
    <w:rsid w:val="00A87872"/>
    <w:rsid w:val="00A93DFF"/>
    <w:rsid w:val="00A951C9"/>
    <w:rsid w:val="00AC130C"/>
    <w:rsid w:val="00AE0819"/>
    <w:rsid w:val="00AF5A52"/>
    <w:rsid w:val="00B07705"/>
    <w:rsid w:val="00B246C0"/>
    <w:rsid w:val="00B2579A"/>
    <w:rsid w:val="00B403AE"/>
    <w:rsid w:val="00B41A4A"/>
    <w:rsid w:val="00B45E35"/>
    <w:rsid w:val="00B57F56"/>
    <w:rsid w:val="00B60777"/>
    <w:rsid w:val="00B6112C"/>
    <w:rsid w:val="00B673D0"/>
    <w:rsid w:val="00B82E12"/>
    <w:rsid w:val="00B900FD"/>
    <w:rsid w:val="00BA2486"/>
    <w:rsid w:val="00BB72AA"/>
    <w:rsid w:val="00BE7AAA"/>
    <w:rsid w:val="00BF2F3D"/>
    <w:rsid w:val="00BF3A0B"/>
    <w:rsid w:val="00C06170"/>
    <w:rsid w:val="00C46E54"/>
    <w:rsid w:val="00C501FD"/>
    <w:rsid w:val="00C53754"/>
    <w:rsid w:val="00C612D2"/>
    <w:rsid w:val="00C81DB5"/>
    <w:rsid w:val="00C96DC0"/>
    <w:rsid w:val="00CA63A5"/>
    <w:rsid w:val="00CB390E"/>
    <w:rsid w:val="00CC4009"/>
    <w:rsid w:val="00CF6748"/>
    <w:rsid w:val="00D02052"/>
    <w:rsid w:val="00D02355"/>
    <w:rsid w:val="00D10D11"/>
    <w:rsid w:val="00D114DB"/>
    <w:rsid w:val="00D16F6E"/>
    <w:rsid w:val="00D44329"/>
    <w:rsid w:val="00D67FA5"/>
    <w:rsid w:val="00D958B9"/>
    <w:rsid w:val="00DB096E"/>
    <w:rsid w:val="00DB72E2"/>
    <w:rsid w:val="00DC2323"/>
    <w:rsid w:val="00DC3EE1"/>
    <w:rsid w:val="00DD458C"/>
    <w:rsid w:val="00DD487A"/>
    <w:rsid w:val="00DE349D"/>
    <w:rsid w:val="00DE500D"/>
    <w:rsid w:val="00DF2931"/>
    <w:rsid w:val="00E03B16"/>
    <w:rsid w:val="00E04A10"/>
    <w:rsid w:val="00E063DE"/>
    <w:rsid w:val="00E11856"/>
    <w:rsid w:val="00E14382"/>
    <w:rsid w:val="00E17979"/>
    <w:rsid w:val="00E24C64"/>
    <w:rsid w:val="00E27F84"/>
    <w:rsid w:val="00E4457D"/>
    <w:rsid w:val="00E5354E"/>
    <w:rsid w:val="00E53B03"/>
    <w:rsid w:val="00E57E29"/>
    <w:rsid w:val="00E67C8B"/>
    <w:rsid w:val="00E73678"/>
    <w:rsid w:val="00E76BF1"/>
    <w:rsid w:val="00E85EC0"/>
    <w:rsid w:val="00E95C33"/>
    <w:rsid w:val="00EA5748"/>
    <w:rsid w:val="00EB111A"/>
    <w:rsid w:val="00EB7915"/>
    <w:rsid w:val="00EC0D68"/>
    <w:rsid w:val="00EC4678"/>
    <w:rsid w:val="00ED0DB4"/>
    <w:rsid w:val="00EE07CB"/>
    <w:rsid w:val="00F0000A"/>
    <w:rsid w:val="00F05E95"/>
    <w:rsid w:val="00F42E8C"/>
    <w:rsid w:val="00F70CD7"/>
    <w:rsid w:val="00F71FD6"/>
    <w:rsid w:val="00F72862"/>
    <w:rsid w:val="00F74D7A"/>
    <w:rsid w:val="00F82260"/>
    <w:rsid w:val="00F87E5D"/>
    <w:rsid w:val="00FA793F"/>
    <w:rsid w:val="00FD1C62"/>
    <w:rsid w:val="00FD6B7E"/>
    <w:rsid w:val="00FD7FA3"/>
    <w:rsid w:val="00FE4F0C"/>
    <w:rsid w:val="00FE7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 w:type="paragraph" w:customStyle="1" w:styleId="Default">
    <w:name w:val="Default"/>
    <w:rsid w:val="005A0437"/>
    <w:pPr>
      <w:autoSpaceDE w:val="0"/>
      <w:autoSpaceDN w:val="0"/>
      <w:adjustRightInd w:val="0"/>
    </w:pPr>
    <w:rPr>
      <w:rFonts w:ascii="Times New Roman" w:eastAsia="Calibri"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778039">
      <w:bodyDiv w:val="1"/>
      <w:marLeft w:val="0"/>
      <w:marRight w:val="0"/>
      <w:marTop w:val="0"/>
      <w:marBottom w:val="0"/>
      <w:divBdr>
        <w:top w:val="none" w:sz="0" w:space="0" w:color="auto"/>
        <w:left w:val="none" w:sz="0" w:space="0" w:color="auto"/>
        <w:bottom w:val="none" w:sz="0" w:space="0" w:color="auto"/>
        <w:right w:val="none" w:sz="0" w:space="0" w:color="auto"/>
      </w:divBdr>
    </w:div>
    <w:div w:id="138964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2.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4.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18</TotalTime>
  <Pages>12</Pages>
  <Words>3435</Words>
  <Characters>19585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Intluxay, Alex</cp:lastModifiedBy>
  <cp:revision>2</cp:revision>
  <dcterms:created xsi:type="dcterms:W3CDTF">2024-12-18T00:12:00Z</dcterms:created>
  <dcterms:modified xsi:type="dcterms:W3CDTF">2024-12-18T00:12:00Z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